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76214">
      <w:pPr>
        <w:pStyle w:val="143"/>
        <w:framePr w:w="0" w:hRule="auto" w:wrap="auto" w:vAnchor="margin" w:hAnchor="text" w:xAlign="left" w:yAlign="inline"/>
        <w:rPr>
          <w:rFonts w:hAnsi="宋体"/>
          <w:color w:val="000000"/>
          <w:sz w:val="21"/>
          <w:szCs w:val="21"/>
        </w:rPr>
      </w:pPr>
    </w:p>
    <w:p w14:paraId="62454D58">
      <w:pPr>
        <w:pStyle w:val="143"/>
        <w:framePr w:w="0" w:hRule="auto" w:wrap="auto" w:vAnchor="margin" w:hAnchor="text" w:xAlign="left" w:yAlign="inline"/>
        <w:rPr>
          <w:rFonts w:hAnsi="宋体"/>
          <w:color w:val="000000"/>
          <w:sz w:val="21"/>
          <w:szCs w:val="21"/>
        </w:rPr>
      </w:pPr>
    </w:p>
    <w:p w14:paraId="62DDFC00">
      <w:pPr>
        <w:pStyle w:val="143"/>
        <w:framePr w:w="0" w:hRule="auto" w:wrap="auto" w:vAnchor="margin" w:hAnchor="text" w:xAlign="left" w:yAlign="inline"/>
        <w:rPr>
          <w:rFonts w:hAnsi="宋体"/>
          <w:color w:val="000000"/>
          <w:sz w:val="21"/>
          <w:szCs w:val="21"/>
        </w:rPr>
      </w:pPr>
    </w:p>
    <w:p w14:paraId="4172D28C">
      <w:pPr>
        <w:pStyle w:val="143"/>
        <w:framePr w:w="0" w:hRule="auto" w:wrap="auto" w:vAnchor="margin" w:hAnchor="text" w:xAlign="left" w:yAlign="inline"/>
        <w:rPr>
          <w:rFonts w:ascii="Times New Roman"/>
          <w:color w:val="000000"/>
          <w:sz w:val="44"/>
          <w:szCs w:val="44"/>
        </w:rPr>
      </w:pPr>
      <w:r>
        <w:rPr>
          <w:rFonts w:hint="eastAsia" w:ascii="Times New Roman"/>
          <w:color w:val="000000"/>
          <w:sz w:val="44"/>
          <w:szCs w:val="44"/>
        </w:rPr>
        <w:t>低压台区电动汽车有序充电</w:t>
      </w:r>
      <w:r>
        <w:rPr>
          <w:rFonts w:hint="eastAsia" w:ascii="Times New Roman"/>
          <w:color w:val="000000"/>
          <w:sz w:val="44"/>
          <w:szCs w:val="44"/>
          <w:lang w:eastAsia="zh-CN"/>
        </w:rPr>
        <w:t>系统</w:t>
      </w:r>
      <w:r>
        <w:rPr>
          <w:rFonts w:hint="eastAsia" w:ascii="Times New Roman"/>
          <w:color w:val="000000"/>
          <w:sz w:val="44"/>
          <w:szCs w:val="44"/>
        </w:rPr>
        <w:t>技术规范</w:t>
      </w:r>
    </w:p>
    <w:p w14:paraId="7040EB5B">
      <w:pPr>
        <w:spacing w:line="200" w:lineRule="exact"/>
        <w:jc w:val="left"/>
        <w:rPr>
          <w:color w:val="000000"/>
          <w:kern w:val="0"/>
          <w:sz w:val="20"/>
          <w:szCs w:val="20"/>
        </w:rPr>
      </w:pPr>
    </w:p>
    <w:p w14:paraId="7690B700">
      <w:pPr>
        <w:spacing w:line="200" w:lineRule="exact"/>
        <w:jc w:val="left"/>
        <w:rPr>
          <w:color w:val="000000"/>
          <w:kern w:val="0"/>
          <w:sz w:val="20"/>
          <w:szCs w:val="20"/>
        </w:rPr>
      </w:pPr>
    </w:p>
    <w:p w14:paraId="47EAC4C3">
      <w:pPr>
        <w:spacing w:line="200" w:lineRule="exact"/>
        <w:jc w:val="left"/>
        <w:rPr>
          <w:color w:val="000000"/>
          <w:kern w:val="0"/>
          <w:sz w:val="20"/>
          <w:szCs w:val="20"/>
        </w:rPr>
      </w:pPr>
    </w:p>
    <w:p w14:paraId="6DCEE38C">
      <w:pPr>
        <w:spacing w:line="200" w:lineRule="exact"/>
        <w:jc w:val="left"/>
        <w:rPr>
          <w:color w:val="000000"/>
          <w:kern w:val="0"/>
          <w:sz w:val="20"/>
          <w:szCs w:val="20"/>
        </w:rPr>
      </w:pPr>
    </w:p>
    <w:p w14:paraId="2F6E0D6D">
      <w:pPr>
        <w:spacing w:before="10" w:line="260" w:lineRule="exact"/>
        <w:jc w:val="left"/>
        <w:rPr>
          <w:color w:val="000000"/>
          <w:kern w:val="0"/>
          <w:sz w:val="26"/>
          <w:szCs w:val="26"/>
        </w:rPr>
      </w:pPr>
    </w:p>
    <w:p w14:paraId="6F5541E2">
      <w:pPr>
        <w:pStyle w:val="76"/>
        <w:numPr>
          <w:ilvl w:val="0"/>
          <w:numId w:val="0"/>
        </w:numPr>
        <w:spacing w:before="240" w:after="240"/>
        <w:jc w:val="center"/>
        <w:rPr>
          <w:rFonts w:ascii="Times New Roman"/>
          <w:color w:val="000000"/>
          <w:sz w:val="28"/>
          <w:szCs w:val="28"/>
        </w:rPr>
      </w:pPr>
      <w:bookmarkStart w:id="0" w:name="_Toc8205"/>
      <w:bookmarkStart w:id="1" w:name="_Toc14262"/>
      <w:r>
        <w:rPr>
          <w:rFonts w:ascii="Times New Roman"/>
          <w:color w:val="000000"/>
          <w:sz w:val="28"/>
          <w:szCs w:val="28"/>
        </w:rPr>
        <w:t>编</w:t>
      </w:r>
      <w:r>
        <w:rPr>
          <w:rFonts w:ascii="Times New Roman"/>
          <w:color w:val="000000"/>
          <w:sz w:val="28"/>
          <w:szCs w:val="28"/>
        </w:rPr>
        <w:tab/>
      </w:r>
      <w:r>
        <w:rPr>
          <w:rFonts w:ascii="Times New Roman"/>
          <w:color w:val="000000"/>
          <w:sz w:val="28"/>
          <w:szCs w:val="28"/>
        </w:rPr>
        <w:t>制</w:t>
      </w:r>
      <w:r>
        <w:rPr>
          <w:rFonts w:ascii="Times New Roman"/>
          <w:color w:val="000000"/>
          <w:sz w:val="28"/>
          <w:szCs w:val="28"/>
        </w:rPr>
        <w:tab/>
      </w:r>
      <w:r>
        <w:rPr>
          <w:rFonts w:ascii="Times New Roman"/>
          <w:color w:val="000000"/>
          <w:sz w:val="28"/>
          <w:szCs w:val="28"/>
        </w:rPr>
        <w:t>说</w:t>
      </w:r>
      <w:r>
        <w:rPr>
          <w:rFonts w:ascii="Times New Roman"/>
          <w:color w:val="000000"/>
          <w:sz w:val="28"/>
          <w:szCs w:val="28"/>
        </w:rPr>
        <w:tab/>
      </w:r>
      <w:r>
        <w:rPr>
          <w:rFonts w:ascii="Times New Roman"/>
          <w:color w:val="000000"/>
          <w:sz w:val="28"/>
          <w:szCs w:val="28"/>
        </w:rPr>
        <w:t>明</w:t>
      </w:r>
      <w:bookmarkEnd w:id="0"/>
      <w:bookmarkEnd w:id="1"/>
    </w:p>
    <w:p w14:paraId="7DFBE8F6">
      <w:pPr>
        <w:rPr>
          <w:rFonts w:eastAsia="黑体"/>
          <w:color w:val="000000"/>
          <w:kern w:val="0"/>
          <w:sz w:val="22"/>
        </w:rPr>
      </w:pPr>
    </w:p>
    <w:p w14:paraId="280D2171">
      <w:pPr>
        <w:rPr>
          <w:rFonts w:eastAsia="黑体"/>
          <w:color w:val="000000"/>
          <w:kern w:val="0"/>
          <w:sz w:val="22"/>
        </w:rPr>
        <w:sectPr>
          <w:footerReference r:id="rId4" w:type="default"/>
          <w:headerReference r:id="rId3" w:type="even"/>
          <w:footerReference r:id="rId5" w:type="even"/>
          <w:pgSz w:w="11907" w:h="16840"/>
          <w:pgMar w:top="1440" w:right="1080" w:bottom="1440" w:left="1080" w:header="1448" w:footer="1121" w:gutter="0"/>
          <w:pgNumType w:start="1"/>
          <w:cols w:space="720" w:num="1"/>
          <w:docGrid w:linePitch="286" w:charSpace="0"/>
        </w:sectPr>
      </w:pPr>
    </w:p>
    <w:p w14:paraId="0B8C1E09">
      <w:pPr>
        <w:spacing w:before="6" w:line="160" w:lineRule="exact"/>
        <w:jc w:val="left"/>
        <w:rPr>
          <w:color w:val="000000"/>
          <w:kern w:val="0"/>
          <w:sz w:val="16"/>
          <w:szCs w:val="16"/>
        </w:rPr>
      </w:pPr>
    </w:p>
    <w:p w14:paraId="47DB3CF3">
      <w:pPr>
        <w:spacing w:line="200" w:lineRule="exact"/>
        <w:jc w:val="left"/>
        <w:rPr>
          <w:color w:val="000000"/>
          <w:kern w:val="0"/>
          <w:sz w:val="20"/>
          <w:szCs w:val="20"/>
        </w:rPr>
      </w:pPr>
    </w:p>
    <w:p w14:paraId="166992D8">
      <w:pPr>
        <w:spacing w:line="200" w:lineRule="exact"/>
        <w:jc w:val="left"/>
        <w:rPr>
          <w:color w:val="000000"/>
          <w:kern w:val="0"/>
          <w:sz w:val="20"/>
          <w:szCs w:val="20"/>
        </w:rPr>
      </w:pPr>
    </w:p>
    <w:p w14:paraId="05DE696D">
      <w:pPr>
        <w:spacing w:line="200" w:lineRule="exact"/>
        <w:jc w:val="left"/>
        <w:rPr>
          <w:color w:val="000000"/>
          <w:kern w:val="0"/>
          <w:sz w:val="20"/>
          <w:szCs w:val="20"/>
        </w:rPr>
      </w:pPr>
    </w:p>
    <w:p w14:paraId="47B036F8">
      <w:pPr>
        <w:spacing w:line="419" w:lineRule="exact"/>
        <w:ind w:left="118"/>
        <w:rPr>
          <w:rFonts w:eastAsia="黑体"/>
          <w:color w:val="000000"/>
          <w:kern w:val="0"/>
          <w:sz w:val="32"/>
          <w:szCs w:val="32"/>
        </w:rPr>
      </w:pPr>
      <w:r>
        <w:rPr>
          <w:rFonts w:eastAsia="黑体"/>
          <w:color w:val="000000"/>
          <w:kern w:val="0"/>
          <w:sz w:val="32"/>
          <w:szCs w:val="32"/>
        </w:rPr>
        <w:t>目</w:t>
      </w:r>
      <w:r>
        <w:rPr>
          <w:rFonts w:eastAsia="黑体"/>
          <w:color w:val="000000"/>
          <w:kern w:val="0"/>
          <w:sz w:val="32"/>
          <w:szCs w:val="32"/>
        </w:rPr>
        <w:tab/>
      </w:r>
      <w:r>
        <w:rPr>
          <w:rFonts w:eastAsia="黑体"/>
          <w:color w:val="000000"/>
          <w:kern w:val="0"/>
          <w:sz w:val="32"/>
          <w:szCs w:val="32"/>
        </w:rPr>
        <w:t>次</w:t>
      </w:r>
    </w:p>
    <w:p w14:paraId="3161EEED">
      <w:pPr>
        <w:pStyle w:val="39"/>
        <w:tabs>
          <w:tab w:val="right" w:pos="2000"/>
          <w:tab w:val="right" w:leader="dot" w:pos="9747"/>
          <w:tab w:val="clear" w:pos="9241"/>
        </w:tabs>
        <w:spacing w:line="360" w:lineRule="auto"/>
      </w:pPr>
      <w:r>
        <w:fldChar w:fldCharType="begin"/>
      </w:r>
      <w:r>
        <w:instrText xml:space="preserve"> TOC \o "1-3" \h \z \u </w:instrText>
      </w:r>
      <w:r>
        <w:fldChar w:fldCharType="separate"/>
      </w:r>
    </w:p>
    <w:p w14:paraId="698F6103">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"_Toc19544" </w:instrText>
      </w:r>
      <w:r>
        <w:fldChar w:fldCharType="separate"/>
      </w:r>
      <w:r>
        <w:rPr>
          <w:rFonts w:hint="eastAsia" w:asciiTheme="minorEastAsia" w:hAnsiTheme="minorEastAsia" w:eastAsiaTheme="minorEastAsia" w:cstheme="minorEastAsia"/>
        </w:rPr>
        <w:t>1 目的意义</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_Toc19544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43B3E13C">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"_Toc2640" </w:instrText>
      </w:r>
      <w:r>
        <w:fldChar w:fldCharType="separate"/>
      </w:r>
      <w:r>
        <w:rPr>
          <w:rFonts w:hint="eastAsia" w:asciiTheme="minorEastAsia" w:hAnsiTheme="minorEastAsia" w:eastAsiaTheme="minorEastAsia" w:cstheme="minorEastAsia"/>
        </w:rPr>
        <w:t>2 任务来源</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_Toc2640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1BE61A3A">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"_Toc23247" </w:instrText>
      </w:r>
      <w:r>
        <w:fldChar w:fldCharType="separate"/>
      </w:r>
      <w:r>
        <w:rPr>
          <w:rFonts w:hint="eastAsia" w:asciiTheme="minorEastAsia" w:hAnsiTheme="minorEastAsia" w:eastAsiaTheme="minorEastAsia" w:cstheme="minorEastAsia"/>
        </w:rPr>
        <w:t>3 编制过程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_Toc23247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200424C9">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"_Toc4427" </w:instrText>
      </w:r>
      <w:r>
        <w:fldChar w:fldCharType="separate"/>
      </w:r>
      <w:r>
        <w:rPr>
          <w:rFonts w:hint="eastAsia" w:asciiTheme="minorEastAsia" w:hAnsiTheme="minorEastAsia" w:eastAsiaTheme="minorEastAsia" w:cstheme="minorEastAsia"/>
        </w:rPr>
        <w:t>4 主要内容</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_Toc4427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7A256EC2">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"_Toc24671" </w:instrText>
      </w:r>
      <w:r>
        <w:fldChar w:fldCharType="separate"/>
      </w:r>
      <w:r>
        <w:rPr>
          <w:rFonts w:hint="eastAsia" w:asciiTheme="minorEastAsia" w:hAnsiTheme="minorEastAsia" w:eastAsiaTheme="minorEastAsia" w:cstheme="minorEastAsia"/>
        </w:rPr>
        <w:t>5 技术指标确定的依据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_Toc24671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062C42A7">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"_Toc7227" </w:instrText>
      </w:r>
      <w:r>
        <w:fldChar w:fldCharType="separate"/>
      </w:r>
      <w:r>
        <w:rPr>
          <w:rFonts w:hint="eastAsia" w:asciiTheme="minorEastAsia" w:hAnsiTheme="minorEastAsia" w:eastAsiaTheme="minorEastAsia" w:cstheme="minorEastAsia"/>
        </w:rPr>
        <w:t>6 重大分歧意见的处理过程和依据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_Toc7227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11079304">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"_Toc11090" </w:instrText>
      </w:r>
      <w:r>
        <w:fldChar w:fldCharType="separate"/>
      </w:r>
      <w:r>
        <w:rPr>
          <w:rFonts w:hint="eastAsia" w:asciiTheme="minorEastAsia" w:hAnsiTheme="minorEastAsia" w:eastAsiaTheme="minorEastAsia" w:cstheme="minorEastAsia"/>
        </w:rPr>
        <w:t xml:space="preserve">7 </w:t>
      </w:r>
      <w:r>
        <w:rPr>
          <w:rFonts w:hint="eastAsia" w:asciiTheme="minorEastAsia" w:hAnsiTheme="minorEastAsia" w:eastAsiaTheme="minorEastAsia" w:cstheme="minorEastAsia"/>
          <w:kern w:val="0"/>
        </w:rPr>
        <w:t>与相关法律法规和标准的关系</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_Toc11090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7B01020E">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"_Toc15417" </w:instrText>
      </w:r>
      <w:r>
        <w:fldChar w:fldCharType="separate"/>
      </w:r>
      <w:r>
        <w:rPr>
          <w:rFonts w:hint="eastAsia" w:asciiTheme="minorEastAsia" w:hAnsiTheme="minorEastAsia" w:eastAsiaTheme="minorEastAsia" w:cstheme="minorEastAsia"/>
          <w:kern w:val="0"/>
        </w:rPr>
        <w:t>8 推广实施建议</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_Toc15417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4E3873CD">
      <w:pPr>
        <w:pStyle w:val="39"/>
        <w:tabs>
          <w:tab w:val="right" w:leader="dot" w:pos="9747"/>
          <w:tab w:val="clear" w:pos="9241"/>
        </w:tabs>
        <w:spacing w:line="360" w:lineRule="auto"/>
        <w:rPr>
          <w:rFonts w:asciiTheme="minorEastAsia" w:hAnsiTheme="minorEastAsia" w:eastAsiaTheme="minorEastAsia" w:cstheme="minorEastAsia"/>
        </w:rPr>
      </w:pPr>
      <w:r>
        <w:fldChar w:fldCharType="begin"/>
      </w:r>
      <w:r>
        <w:instrText xml:space="preserve"> HYPERLINK \l "_Toc31853" </w:instrText>
      </w:r>
      <w:r>
        <w:fldChar w:fldCharType="separate"/>
      </w:r>
      <w:r>
        <w:rPr>
          <w:rFonts w:hint="eastAsia" w:asciiTheme="minorEastAsia" w:hAnsiTheme="minorEastAsia" w:eastAsiaTheme="minorEastAsia" w:cstheme="minorEastAsia"/>
        </w:rPr>
        <w:t>9 起草单位和起草人员信息及分工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_Toc31853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7EE47026">
      <w:pPr>
        <w:spacing w:before="79" w:line="360" w:lineRule="auto"/>
        <w:ind w:right="115"/>
        <w:rPr>
          <w:color w:val="000000"/>
          <w:kern w:val="0"/>
          <w:szCs w:val="21"/>
        </w:rPr>
      </w:pPr>
      <w:r>
        <w:rPr>
          <w:bCs/>
          <w:lang w:val="zh-CN"/>
        </w:rPr>
        <w:fldChar w:fldCharType="end"/>
      </w:r>
    </w:p>
    <w:p w14:paraId="42A2D96A">
      <w:pPr>
        <w:spacing w:line="360" w:lineRule="auto"/>
        <w:rPr>
          <w:color w:val="000000"/>
          <w:kern w:val="0"/>
          <w:sz w:val="22"/>
        </w:rPr>
        <w:sectPr>
          <w:headerReference r:id="rId8" w:type="first"/>
          <w:footerReference r:id="rId10" w:type="first"/>
          <w:headerReference r:id="rId6" w:type="default"/>
          <w:footerReference r:id="rId9" w:type="default"/>
          <w:headerReference r:id="rId7" w:type="even"/>
          <w:pgSz w:w="11907" w:h="16840"/>
          <w:pgMar w:top="1440" w:right="1080" w:bottom="1440" w:left="1080" w:header="0" w:footer="1116" w:gutter="0"/>
          <w:pgNumType w:fmt="upperRoman" w:start="1"/>
          <w:cols w:space="720" w:num="1"/>
          <w:titlePg/>
          <w:docGrid w:linePitch="286" w:charSpace="0"/>
        </w:sectPr>
      </w:pPr>
    </w:p>
    <w:p w14:paraId="243EDDC6">
      <w:pPr>
        <w:pStyle w:val="76"/>
        <w:numPr>
          <w:ilvl w:val="0"/>
          <w:numId w:val="22"/>
        </w:numPr>
        <w:spacing w:before="240" w:after="240"/>
        <w:rPr>
          <w:color w:val="000000"/>
        </w:rPr>
      </w:pPr>
      <w:bookmarkStart w:id="2" w:name="_bookmark22"/>
      <w:bookmarkEnd w:id="2"/>
      <w:bookmarkStart w:id="3" w:name="_Toc19544"/>
      <w:r>
        <w:rPr>
          <w:rFonts w:hint="eastAsia"/>
          <w:color w:val="000000"/>
        </w:rPr>
        <w:t>目的意义</w:t>
      </w:r>
      <w:bookmarkEnd w:id="3"/>
    </w:p>
    <w:p w14:paraId="34AC6BF4">
      <w:pPr>
        <w:pStyle w:val="34"/>
        <w:spacing w:before="120" w:after="120" w:line="276" w:lineRule="auto"/>
        <w:ind w:firstLine="420"/>
        <w:rPr>
          <w:rFonts w:hint="eastAsia" w:eastAsia="宋体"/>
          <w:color w:val="000000"/>
          <w:sz w:val="21"/>
          <w:szCs w:val="21"/>
          <w:lang w:eastAsia="zh-CN"/>
        </w:rPr>
      </w:pPr>
      <w:r>
        <w:rPr>
          <w:rFonts w:hint="eastAsia"/>
          <w:color w:val="000000"/>
          <w:sz w:val="21"/>
          <w:szCs w:val="21"/>
        </w:rPr>
        <w:t>“双碳”战略背景下，发展电动汽车是应对能源、环境和气候问题而采取的有效措施。随着电动汽车保有量的快速增长，电动汽车开始规模化、无序化接入电网系统，导致负荷高峰重叠，进一步扩大峰谷差，造成</w:t>
      </w:r>
      <w:r>
        <w:rPr>
          <w:rFonts w:hint="eastAsia"/>
          <w:color w:val="000000"/>
          <w:sz w:val="21"/>
          <w:szCs w:val="21"/>
          <w:lang w:eastAsia="zh-CN"/>
        </w:rPr>
        <w:t>部分台区配电变压器</w:t>
      </w:r>
      <w:r>
        <w:rPr>
          <w:rFonts w:hint="eastAsia"/>
          <w:color w:val="000000"/>
          <w:sz w:val="21"/>
          <w:szCs w:val="21"/>
        </w:rPr>
        <w:t>容量短缺</w:t>
      </w:r>
      <w:r>
        <w:rPr>
          <w:rFonts w:hint="eastAsia"/>
          <w:color w:val="000000"/>
          <w:sz w:val="21"/>
          <w:szCs w:val="21"/>
          <w:lang w:eastAsia="zh-CN"/>
        </w:rPr>
        <w:t>，部分配电变压器长期</w:t>
      </w:r>
      <w:r>
        <w:rPr>
          <w:rFonts w:hint="eastAsia"/>
          <w:color w:val="000000"/>
          <w:sz w:val="21"/>
          <w:szCs w:val="21"/>
        </w:rPr>
        <w:t>重载、过载</w:t>
      </w:r>
      <w:r>
        <w:rPr>
          <w:rFonts w:hint="eastAsia"/>
          <w:color w:val="000000"/>
          <w:sz w:val="21"/>
          <w:szCs w:val="21"/>
          <w:lang w:eastAsia="zh-CN"/>
        </w:rPr>
        <w:t>运行</w:t>
      </w:r>
      <w:r>
        <w:rPr>
          <w:rFonts w:hint="eastAsia"/>
          <w:color w:val="000000"/>
          <w:sz w:val="21"/>
          <w:szCs w:val="21"/>
        </w:rPr>
        <w:t>，用电经济性和电网安全性</w:t>
      </w:r>
      <w:r>
        <w:rPr>
          <w:rFonts w:hint="eastAsia"/>
          <w:color w:val="000000"/>
          <w:sz w:val="21"/>
          <w:szCs w:val="21"/>
          <w:lang w:eastAsia="zh-CN"/>
        </w:rPr>
        <w:t>面临挑战。在</w:t>
      </w:r>
      <w:r>
        <w:rPr>
          <w:rFonts w:hint="eastAsia"/>
          <w:color w:val="000000"/>
          <w:sz w:val="21"/>
          <w:szCs w:val="21"/>
          <w:lang w:val="en-US" w:eastAsia="zh-CN"/>
        </w:rPr>
        <w:t>低压台区</w:t>
      </w:r>
      <w:r>
        <w:rPr>
          <w:rFonts w:hint="eastAsia"/>
          <w:color w:val="000000"/>
          <w:sz w:val="21"/>
          <w:szCs w:val="21"/>
          <w:lang w:eastAsia="zh-CN"/>
        </w:rPr>
        <w:t>实施电动汽车有序充电</w:t>
      </w:r>
      <w:r>
        <w:rPr>
          <w:rFonts w:hint="eastAsia"/>
          <w:color w:val="000000"/>
          <w:sz w:val="21"/>
          <w:szCs w:val="21"/>
        </w:rPr>
        <w:t>，</w:t>
      </w:r>
      <w:r>
        <w:rPr>
          <w:rFonts w:hint="eastAsia"/>
          <w:color w:val="000000"/>
          <w:sz w:val="21"/>
          <w:szCs w:val="21"/>
          <w:lang w:val="en-US" w:eastAsia="zh-CN"/>
        </w:rPr>
        <w:t>引导充电负荷参与电网互动，对缓解部分台区电力供需矛盾、提升用电经济性和电网安全性具有重要意义</w:t>
      </w:r>
      <w:r>
        <w:rPr>
          <w:rFonts w:hint="eastAsia"/>
          <w:color w:val="000000"/>
          <w:sz w:val="21"/>
          <w:szCs w:val="21"/>
        </w:rPr>
        <w:t>。本标准在借鉴</w:t>
      </w:r>
      <w:r>
        <w:rPr>
          <w:rFonts w:hint="eastAsia"/>
          <w:color w:val="000000"/>
          <w:sz w:val="21"/>
          <w:szCs w:val="21"/>
          <w:lang w:eastAsia="zh-CN"/>
        </w:rPr>
        <w:t>国内外</w:t>
      </w:r>
      <w:r>
        <w:rPr>
          <w:rFonts w:hint="eastAsia"/>
          <w:color w:val="000000"/>
          <w:sz w:val="21"/>
          <w:szCs w:val="21"/>
        </w:rPr>
        <w:t>有关技术标准基础上，</w:t>
      </w:r>
      <w:r>
        <w:rPr>
          <w:rFonts w:hint="eastAsia"/>
          <w:color w:val="000000"/>
          <w:sz w:val="21"/>
          <w:szCs w:val="21"/>
          <w:lang w:eastAsia="zh-CN"/>
        </w:rPr>
        <w:t>聚焦居住区交流充电设施，从整体上对有序充电系统提出功能和性能要求，</w:t>
      </w:r>
      <w:r>
        <w:rPr>
          <w:rFonts w:hint="eastAsia"/>
          <w:color w:val="000000"/>
          <w:sz w:val="21"/>
          <w:szCs w:val="21"/>
        </w:rPr>
        <w:t>使其能够满足</w:t>
      </w:r>
      <w:r>
        <w:rPr>
          <w:rFonts w:hint="eastAsia"/>
          <w:color w:val="000000"/>
          <w:sz w:val="21"/>
          <w:szCs w:val="21"/>
          <w:lang w:eastAsia="zh-CN"/>
        </w:rPr>
        <w:t>与电网互动应用要求</w:t>
      </w:r>
      <w:r>
        <w:rPr>
          <w:rFonts w:hint="eastAsia"/>
          <w:color w:val="000000"/>
          <w:sz w:val="21"/>
          <w:szCs w:val="21"/>
        </w:rPr>
        <w:t>，</w:t>
      </w:r>
      <w:r>
        <w:rPr>
          <w:color w:val="000000"/>
          <w:sz w:val="21"/>
          <w:szCs w:val="21"/>
        </w:rPr>
        <w:t>填补</w:t>
      </w:r>
      <w:r>
        <w:rPr>
          <w:rFonts w:hint="eastAsia"/>
          <w:color w:val="000000"/>
          <w:sz w:val="21"/>
          <w:szCs w:val="21"/>
        </w:rPr>
        <w:t>了</w:t>
      </w:r>
      <w:r>
        <w:rPr>
          <w:color w:val="000000"/>
          <w:sz w:val="21"/>
          <w:szCs w:val="21"/>
        </w:rPr>
        <w:t>江苏省</w:t>
      </w:r>
      <w:r>
        <w:rPr>
          <w:rFonts w:hint="eastAsia"/>
          <w:color w:val="000000"/>
          <w:sz w:val="21"/>
          <w:szCs w:val="21"/>
          <w:lang w:val="en-US" w:eastAsia="zh-CN"/>
        </w:rPr>
        <w:t>低压台区</w:t>
      </w:r>
      <w:r>
        <w:rPr>
          <w:rFonts w:hint="eastAsia"/>
          <w:color w:val="000000"/>
          <w:sz w:val="21"/>
          <w:szCs w:val="21"/>
          <w:lang w:eastAsia="zh-CN"/>
        </w:rPr>
        <w:t>有序充电</w:t>
      </w:r>
      <w:r>
        <w:rPr>
          <w:rFonts w:hint="eastAsia"/>
          <w:color w:val="000000"/>
          <w:sz w:val="21"/>
          <w:szCs w:val="21"/>
        </w:rPr>
        <w:t>技术标准</w:t>
      </w:r>
      <w:r>
        <w:rPr>
          <w:color w:val="000000"/>
          <w:sz w:val="21"/>
          <w:szCs w:val="21"/>
        </w:rPr>
        <w:t>空白</w:t>
      </w:r>
      <w:r>
        <w:rPr>
          <w:rFonts w:hint="eastAsia"/>
          <w:color w:val="000000"/>
          <w:sz w:val="21"/>
          <w:szCs w:val="21"/>
          <w:lang w:eastAsia="zh-CN"/>
        </w:rPr>
        <w:t>。</w:t>
      </w:r>
    </w:p>
    <w:p w14:paraId="0B9F91B9">
      <w:pPr>
        <w:pStyle w:val="76"/>
        <w:spacing w:before="240" w:after="240"/>
        <w:rPr>
          <w:color w:val="000000"/>
        </w:rPr>
      </w:pPr>
      <w:bookmarkStart w:id="4" w:name="_Toc2640"/>
      <w:bookmarkStart w:id="5" w:name="_Toc166106346"/>
      <w:r>
        <w:rPr>
          <w:rFonts w:hint="eastAsia"/>
          <w:color w:val="000000"/>
        </w:rPr>
        <w:t>任务来源</w:t>
      </w:r>
      <w:bookmarkEnd w:id="4"/>
      <w:bookmarkEnd w:id="5"/>
    </w:p>
    <w:p w14:paraId="2EF90ACD">
      <w:pPr>
        <w:pStyle w:val="34"/>
        <w:spacing w:before="120" w:after="120" w:line="276" w:lineRule="auto"/>
        <w:ind w:firstLine="420"/>
        <w:rPr>
          <w:color w:val="000000"/>
          <w:sz w:val="21"/>
          <w:szCs w:val="21"/>
        </w:rPr>
      </w:pPr>
      <w:r>
        <w:rPr>
          <w:rFonts w:hint="eastAsia"/>
          <w:color w:val="000000"/>
          <w:sz w:val="21"/>
          <w:szCs w:val="21"/>
        </w:rPr>
        <w:t>202</w:t>
      </w:r>
      <w:r>
        <w:rPr>
          <w:rFonts w:hint="default"/>
          <w:color w:val="000000"/>
          <w:sz w:val="21"/>
          <w:szCs w:val="21"/>
          <w:lang w:val="en-US"/>
        </w:rPr>
        <w:t>3</w:t>
      </w:r>
      <w:r>
        <w:rPr>
          <w:rFonts w:hint="eastAsia"/>
          <w:color w:val="000000"/>
          <w:sz w:val="21"/>
          <w:szCs w:val="21"/>
        </w:rPr>
        <w:t>年</w:t>
      </w:r>
      <w:r>
        <w:rPr>
          <w:rFonts w:hint="eastAsia"/>
          <w:color w:val="000000"/>
          <w:sz w:val="21"/>
          <w:szCs w:val="21"/>
          <w:lang w:val="en-US" w:eastAsia="zh-CN"/>
        </w:rPr>
        <w:t>8</w:t>
      </w:r>
      <w:r>
        <w:rPr>
          <w:rFonts w:hint="eastAsia"/>
          <w:color w:val="000000"/>
          <w:sz w:val="21"/>
          <w:szCs w:val="21"/>
        </w:rPr>
        <w:t>月，国网江苏省电力有限公司营销服务中心申请地方标准立项，根据</w:t>
      </w:r>
      <w:r>
        <w:rPr>
          <w:color w:val="000000"/>
          <w:sz w:val="21"/>
          <w:szCs w:val="21"/>
        </w:rPr>
        <w:t>江苏省</w:t>
      </w:r>
      <w:r>
        <w:rPr>
          <w:rFonts w:hint="eastAsia"/>
          <w:color w:val="000000"/>
          <w:sz w:val="21"/>
          <w:szCs w:val="21"/>
        </w:rPr>
        <w:t>地方监督管理局下达的202</w:t>
      </w:r>
      <w:r>
        <w:rPr>
          <w:rFonts w:hint="eastAsia"/>
          <w:color w:val="000000"/>
          <w:sz w:val="21"/>
          <w:szCs w:val="21"/>
          <w:lang w:val="en-US" w:eastAsia="zh-CN"/>
        </w:rPr>
        <w:t>3</w:t>
      </w:r>
      <w:r>
        <w:rPr>
          <w:rFonts w:hint="eastAsia"/>
          <w:color w:val="000000"/>
          <w:sz w:val="21"/>
          <w:szCs w:val="21"/>
        </w:rPr>
        <w:t>年标准计划，批准《低压台区电动汽车有序充电系统技术规范》地方标准的制定。</w:t>
      </w:r>
    </w:p>
    <w:p w14:paraId="56640297">
      <w:pPr>
        <w:pStyle w:val="76"/>
        <w:numPr>
          <w:ilvl w:val="0"/>
          <w:numId w:val="22"/>
        </w:numPr>
        <w:spacing w:before="240" w:after="240"/>
        <w:rPr>
          <w:color w:val="000000"/>
        </w:rPr>
      </w:pPr>
      <w:bookmarkStart w:id="6" w:name="_Toc497087671"/>
      <w:bookmarkStart w:id="7" w:name="_Toc338340184"/>
      <w:bookmarkStart w:id="8" w:name="_Toc23247"/>
      <w:bookmarkStart w:id="9" w:name="_Toc10462824"/>
      <w:bookmarkStart w:id="10" w:name="_Toc495476951"/>
      <w:r>
        <w:rPr>
          <w:rFonts w:hint="eastAsia"/>
          <w:color w:val="000000"/>
        </w:rPr>
        <w:t>编制过程</w:t>
      </w:r>
      <w:bookmarkEnd w:id="6"/>
      <w:bookmarkEnd w:id="7"/>
      <w:bookmarkEnd w:id="8"/>
      <w:bookmarkEnd w:id="9"/>
      <w:bookmarkEnd w:id="10"/>
    </w:p>
    <w:p w14:paraId="4242D9DB">
      <w:pPr>
        <w:pStyle w:val="34"/>
        <w:spacing w:before="120" w:after="120" w:line="276" w:lineRule="auto"/>
        <w:ind w:firstLine="420"/>
        <w:rPr>
          <w:color w:val="000000"/>
          <w:sz w:val="21"/>
          <w:szCs w:val="21"/>
        </w:rPr>
      </w:pPr>
      <w:r>
        <w:rPr>
          <w:color w:val="000000"/>
          <w:sz w:val="21"/>
          <w:szCs w:val="21"/>
        </w:rPr>
        <w:t>202</w:t>
      </w:r>
      <w:r>
        <w:rPr>
          <w:rFonts w:hint="eastAsia"/>
          <w:color w:val="000000"/>
          <w:sz w:val="21"/>
          <w:szCs w:val="21"/>
          <w:lang w:val="en-US" w:eastAsia="zh-CN"/>
        </w:rPr>
        <w:t>3</w:t>
      </w:r>
      <w:r>
        <w:rPr>
          <w:color w:val="000000"/>
          <w:sz w:val="21"/>
          <w:szCs w:val="21"/>
        </w:rPr>
        <w:t>年5月，开展</w:t>
      </w:r>
      <w:r>
        <w:rPr>
          <w:rFonts w:hint="eastAsia"/>
          <w:color w:val="000000"/>
          <w:sz w:val="21"/>
          <w:szCs w:val="21"/>
          <w:lang w:eastAsia="zh-CN"/>
        </w:rPr>
        <w:t>江苏范围内低压台区充电负荷</w:t>
      </w:r>
      <w:r>
        <w:rPr>
          <w:color w:val="000000"/>
          <w:sz w:val="21"/>
          <w:szCs w:val="21"/>
        </w:rPr>
        <w:t>调研工作</w:t>
      </w:r>
      <w:r>
        <w:rPr>
          <w:rFonts w:hint="eastAsia"/>
          <w:color w:val="000000"/>
          <w:sz w:val="21"/>
          <w:szCs w:val="21"/>
        </w:rPr>
        <w:t>，启动</w:t>
      </w:r>
      <w:r>
        <w:rPr>
          <w:color w:val="000000"/>
          <w:sz w:val="21"/>
          <w:szCs w:val="21"/>
        </w:rPr>
        <w:t>《</w:t>
      </w:r>
      <w:r>
        <w:rPr>
          <w:rFonts w:hint="eastAsia"/>
          <w:color w:val="000000"/>
          <w:sz w:val="21"/>
          <w:szCs w:val="21"/>
        </w:rPr>
        <w:t>低压台区电动汽车有序充电系统技术规范</w:t>
      </w:r>
      <w:r>
        <w:rPr>
          <w:color w:val="000000"/>
          <w:sz w:val="21"/>
          <w:szCs w:val="21"/>
        </w:rPr>
        <w:t>》标准</w:t>
      </w:r>
      <w:r>
        <w:rPr>
          <w:rFonts w:hint="eastAsia"/>
          <w:color w:val="000000"/>
          <w:sz w:val="21"/>
          <w:szCs w:val="21"/>
        </w:rPr>
        <w:t>研究</w:t>
      </w:r>
      <w:r>
        <w:rPr>
          <w:color w:val="000000"/>
          <w:sz w:val="21"/>
          <w:szCs w:val="21"/>
        </w:rPr>
        <w:t>工作</w:t>
      </w:r>
      <w:r>
        <w:rPr>
          <w:rFonts w:hint="eastAsia"/>
          <w:color w:val="000000"/>
          <w:sz w:val="21"/>
          <w:szCs w:val="21"/>
        </w:rPr>
        <w:t>。</w:t>
      </w:r>
    </w:p>
    <w:p w14:paraId="1144F025">
      <w:pPr>
        <w:pStyle w:val="34"/>
        <w:spacing w:before="120" w:after="120" w:line="276" w:lineRule="auto"/>
        <w:ind w:firstLine="420"/>
        <w:rPr>
          <w:color w:val="000000"/>
          <w:sz w:val="21"/>
          <w:szCs w:val="21"/>
        </w:rPr>
      </w:pPr>
      <w:r>
        <w:rPr>
          <w:color w:val="000000"/>
          <w:sz w:val="21"/>
          <w:szCs w:val="21"/>
        </w:rPr>
        <w:t>202</w:t>
      </w:r>
      <w:r>
        <w:rPr>
          <w:rFonts w:hint="eastAsia"/>
          <w:color w:val="000000"/>
          <w:sz w:val="21"/>
          <w:szCs w:val="21"/>
          <w:lang w:val="en-US" w:eastAsia="zh-CN"/>
        </w:rPr>
        <w:t>3</w:t>
      </w:r>
      <w:r>
        <w:rPr>
          <w:color w:val="000000"/>
          <w:sz w:val="21"/>
          <w:szCs w:val="21"/>
        </w:rPr>
        <w:t>年</w:t>
      </w:r>
      <w:r>
        <w:rPr>
          <w:rFonts w:hint="eastAsia"/>
          <w:color w:val="000000"/>
          <w:sz w:val="21"/>
          <w:szCs w:val="21"/>
          <w:lang w:val="en-US" w:eastAsia="zh-CN"/>
        </w:rPr>
        <w:t>8</w:t>
      </w:r>
      <w:r>
        <w:rPr>
          <w:color w:val="000000"/>
          <w:sz w:val="21"/>
          <w:szCs w:val="21"/>
        </w:rPr>
        <w:t>月，申请江苏省</w:t>
      </w:r>
      <w:r>
        <w:rPr>
          <w:rFonts w:hint="eastAsia"/>
          <w:color w:val="000000"/>
          <w:sz w:val="21"/>
          <w:szCs w:val="21"/>
        </w:rPr>
        <w:t>地方</w:t>
      </w:r>
      <w:r>
        <w:rPr>
          <w:color w:val="000000"/>
          <w:sz w:val="21"/>
          <w:szCs w:val="21"/>
        </w:rPr>
        <w:t>标准</w:t>
      </w:r>
      <w:r>
        <w:rPr>
          <w:rFonts w:hint="eastAsia"/>
          <w:color w:val="000000"/>
          <w:sz w:val="21"/>
          <w:szCs w:val="21"/>
        </w:rPr>
        <w:t>并获</w:t>
      </w:r>
      <w:r>
        <w:rPr>
          <w:color w:val="000000"/>
          <w:sz w:val="21"/>
          <w:szCs w:val="21"/>
        </w:rPr>
        <w:t>批立项</w:t>
      </w:r>
      <w:r>
        <w:rPr>
          <w:rFonts w:hint="eastAsia"/>
          <w:color w:val="000000"/>
          <w:sz w:val="21"/>
          <w:szCs w:val="21"/>
        </w:rPr>
        <w:t>。</w:t>
      </w:r>
    </w:p>
    <w:p w14:paraId="43AB5128">
      <w:pPr>
        <w:pStyle w:val="34"/>
        <w:spacing w:before="120" w:after="120" w:line="276" w:lineRule="auto"/>
        <w:ind w:firstLine="420"/>
        <w:rPr>
          <w:rFonts w:hint="eastAsia" w:eastAsia="宋体"/>
          <w:color w:val="000000"/>
          <w:sz w:val="21"/>
          <w:szCs w:val="21"/>
          <w:lang w:eastAsia="zh-CN"/>
        </w:rPr>
      </w:pPr>
      <w:r>
        <w:rPr>
          <w:color w:val="000000"/>
          <w:sz w:val="21"/>
          <w:szCs w:val="21"/>
        </w:rPr>
        <w:t>202</w:t>
      </w:r>
      <w:r>
        <w:rPr>
          <w:rFonts w:hint="eastAsia"/>
          <w:color w:val="000000"/>
          <w:sz w:val="21"/>
          <w:szCs w:val="21"/>
          <w:lang w:val="en-US" w:eastAsia="zh-CN"/>
        </w:rPr>
        <w:t>3</w:t>
      </w:r>
      <w:r>
        <w:rPr>
          <w:color w:val="000000"/>
          <w:sz w:val="21"/>
          <w:szCs w:val="21"/>
        </w:rPr>
        <w:t>年</w:t>
      </w:r>
      <w:r>
        <w:rPr>
          <w:rFonts w:hint="eastAsia"/>
          <w:color w:val="000000"/>
          <w:sz w:val="21"/>
          <w:szCs w:val="21"/>
          <w:lang w:val="en-US" w:eastAsia="zh-CN"/>
        </w:rPr>
        <w:t>11</w:t>
      </w:r>
      <w:r>
        <w:rPr>
          <w:color w:val="000000"/>
          <w:sz w:val="21"/>
          <w:szCs w:val="21"/>
        </w:rPr>
        <w:t>月，</w:t>
      </w:r>
      <w:r>
        <w:rPr>
          <w:rFonts w:hint="eastAsia"/>
          <w:color w:val="000000"/>
          <w:sz w:val="21"/>
          <w:szCs w:val="21"/>
          <w:lang w:eastAsia="zh-CN"/>
        </w:rPr>
        <w:t>研发了</w:t>
      </w:r>
      <w:r>
        <w:rPr>
          <w:rFonts w:hint="eastAsia"/>
          <w:color w:val="000000"/>
          <w:sz w:val="21"/>
          <w:szCs w:val="21"/>
        </w:rPr>
        <w:t>低压台区电动汽车有序充电系统</w:t>
      </w:r>
      <w:r>
        <w:rPr>
          <w:rFonts w:hint="eastAsia"/>
          <w:color w:val="000000"/>
          <w:sz w:val="21"/>
          <w:szCs w:val="21"/>
          <w:lang w:eastAsia="zh-CN"/>
        </w:rPr>
        <w:t>，并在常州开展试点应用，开展了十余次有序充电试验，成功对充电高峰负荷进行了转移，减小了台区峰谷差，达到了预期目标，验证了总体技术方案的可行性。</w:t>
      </w:r>
    </w:p>
    <w:p w14:paraId="62ACBEE8">
      <w:pPr>
        <w:pStyle w:val="34"/>
        <w:spacing w:before="120" w:after="120" w:line="276" w:lineRule="auto"/>
        <w:ind w:firstLine="420"/>
        <w:rPr>
          <w:color w:val="000000"/>
          <w:sz w:val="21"/>
          <w:szCs w:val="21"/>
        </w:rPr>
      </w:pPr>
      <w:r>
        <w:rPr>
          <w:color w:val="000000"/>
          <w:sz w:val="21"/>
          <w:szCs w:val="21"/>
        </w:rPr>
        <w:t>202</w:t>
      </w:r>
      <w:r>
        <w:rPr>
          <w:rFonts w:hint="eastAsia"/>
          <w:color w:val="000000"/>
          <w:sz w:val="21"/>
          <w:szCs w:val="21"/>
          <w:lang w:val="en-US" w:eastAsia="zh-CN"/>
        </w:rPr>
        <w:t>4</w:t>
      </w:r>
      <w:r>
        <w:rPr>
          <w:color w:val="000000"/>
          <w:sz w:val="21"/>
          <w:szCs w:val="21"/>
        </w:rPr>
        <w:t>年</w:t>
      </w:r>
      <w:r>
        <w:rPr>
          <w:rFonts w:hint="eastAsia"/>
          <w:color w:val="000000"/>
          <w:sz w:val="21"/>
          <w:szCs w:val="21"/>
          <w:lang w:val="en-US" w:eastAsia="zh-CN"/>
        </w:rPr>
        <w:t>3</w:t>
      </w:r>
      <w:r>
        <w:rPr>
          <w:color w:val="000000"/>
          <w:sz w:val="21"/>
          <w:szCs w:val="21"/>
        </w:rPr>
        <w:t>月</w:t>
      </w:r>
      <w:r>
        <w:rPr>
          <w:rFonts w:hint="eastAsia"/>
          <w:color w:val="000000"/>
          <w:sz w:val="21"/>
          <w:szCs w:val="21"/>
        </w:rPr>
        <w:t>完成</w:t>
      </w:r>
      <w:r>
        <w:rPr>
          <w:color w:val="000000"/>
          <w:sz w:val="21"/>
          <w:szCs w:val="21"/>
        </w:rPr>
        <w:t>《</w:t>
      </w:r>
      <w:r>
        <w:rPr>
          <w:rFonts w:hint="eastAsia"/>
          <w:color w:val="000000"/>
          <w:sz w:val="21"/>
          <w:szCs w:val="21"/>
        </w:rPr>
        <w:t>低压台区电动汽车有序充电系统技术规范</w:t>
      </w:r>
      <w:r>
        <w:rPr>
          <w:color w:val="000000"/>
          <w:sz w:val="21"/>
          <w:szCs w:val="21"/>
        </w:rPr>
        <w:t>》</w:t>
      </w:r>
      <w:r>
        <w:rPr>
          <w:rFonts w:hint="eastAsia"/>
          <w:color w:val="000000"/>
          <w:sz w:val="21"/>
          <w:szCs w:val="21"/>
        </w:rPr>
        <w:t>初稿编写，组织</w:t>
      </w:r>
      <w:r>
        <w:rPr>
          <w:color w:val="000000"/>
          <w:sz w:val="21"/>
          <w:szCs w:val="21"/>
        </w:rPr>
        <w:t>南瑞集团、东南大学</w:t>
      </w:r>
      <w:r>
        <w:rPr>
          <w:rFonts w:hint="eastAsia"/>
          <w:color w:val="000000"/>
          <w:sz w:val="21"/>
          <w:szCs w:val="21"/>
          <w:lang w:eastAsia="zh-CN"/>
        </w:rPr>
        <w:t>、</w:t>
      </w:r>
      <w:r>
        <w:rPr>
          <w:rFonts w:hint="eastAsia"/>
          <w:color w:val="000000"/>
          <w:sz w:val="21"/>
          <w:szCs w:val="21"/>
          <w:lang w:eastAsia="zh-CN"/>
        </w:rPr>
        <w:fldChar w:fldCharType="begin"/>
      </w:r>
      <w:r>
        <w:rPr>
          <w:rFonts w:hint="eastAsia"/>
          <w:color w:val="000000"/>
          <w:sz w:val="21"/>
          <w:szCs w:val="21"/>
          <w:lang w:eastAsia="zh-CN"/>
        </w:rPr>
        <w:instrText xml:space="preserve"> HYPERLINK "https://aiqicha.baidu.com/detail/compinfo?pid=xlTM-TogKuTwp01*KGUItUhXM8xE1DRQuwmd&amp;pd=aen&amp;from=ps&amp;query=%E7%89%B9%E6%9D%A5%E7%94%B5" \t "https://www.baidu.com/_blank" </w:instrText>
      </w:r>
      <w:r>
        <w:rPr>
          <w:rFonts w:hint="eastAsia"/>
          <w:color w:val="000000"/>
          <w:sz w:val="21"/>
          <w:szCs w:val="21"/>
          <w:lang w:eastAsia="zh-CN"/>
        </w:rPr>
        <w:fldChar w:fldCharType="separate"/>
      </w:r>
      <w:r>
        <w:rPr>
          <w:rFonts w:hint="eastAsia"/>
          <w:color w:val="000000"/>
          <w:sz w:val="21"/>
          <w:szCs w:val="21"/>
          <w:lang w:eastAsia="zh-CN"/>
        </w:rPr>
        <w:t>特来电</w:t>
      </w:r>
      <w:r>
        <w:rPr>
          <w:rFonts w:hint="eastAsia"/>
          <w:color w:val="000000"/>
          <w:sz w:val="21"/>
          <w:szCs w:val="21"/>
          <w:lang w:eastAsia="zh-CN"/>
        </w:rPr>
        <w:fldChar w:fldCharType="end"/>
      </w:r>
      <w:r>
        <w:rPr>
          <w:rFonts w:hint="eastAsia"/>
          <w:color w:val="000000"/>
          <w:sz w:val="21"/>
          <w:szCs w:val="21"/>
          <w:lang w:eastAsia="zh-CN"/>
        </w:rPr>
        <w:t>、比亚迪</w:t>
      </w:r>
      <w:r>
        <w:rPr>
          <w:color w:val="000000"/>
          <w:sz w:val="21"/>
          <w:szCs w:val="21"/>
        </w:rPr>
        <w:t>等</w:t>
      </w:r>
      <w:r>
        <w:rPr>
          <w:rFonts w:hint="eastAsia"/>
          <w:color w:val="000000"/>
          <w:sz w:val="21"/>
          <w:szCs w:val="21"/>
          <w:lang w:eastAsia="zh-CN"/>
        </w:rPr>
        <w:t>业内</w:t>
      </w:r>
      <w:r>
        <w:rPr>
          <w:color w:val="000000"/>
          <w:sz w:val="21"/>
          <w:szCs w:val="21"/>
        </w:rPr>
        <w:t>专家对标准初稿进行评审，根据评审意见</w:t>
      </w:r>
      <w:r>
        <w:rPr>
          <w:rFonts w:hint="eastAsia"/>
          <w:color w:val="000000"/>
          <w:sz w:val="21"/>
          <w:szCs w:val="21"/>
        </w:rPr>
        <w:t>完善标准内容。</w:t>
      </w:r>
    </w:p>
    <w:p w14:paraId="735D8C4F">
      <w:pPr>
        <w:pStyle w:val="34"/>
        <w:spacing w:before="120" w:after="120" w:line="276" w:lineRule="auto"/>
        <w:ind w:firstLine="420"/>
        <w:rPr>
          <w:color w:val="000000"/>
          <w:sz w:val="21"/>
          <w:szCs w:val="21"/>
        </w:rPr>
      </w:pPr>
      <w:r>
        <w:rPr>
          <w:color w:val="000000"/>
          <w:sz w:val="21"/>
          <w:szCs w:val="21"/>
        </w:rPr>
        <w:t>202</w:t>
      </w:r>
      <w:r>
        <w:rPr>
          <w:rFonts w:hint="eastAsia"/>
          <w:color w:val="000000"/>
          <w:sz w:val="21"/>
          <w:szCs w:val="21"/>
          <w:lang w:val="en-US" w:eastAsia="zh-CN"/>
        </w:rPr>
        <w:t>4</w:t>
      </w:r>
      <w:r>
        <w:rPr>
          <w:color w:val="000000"/>
          <w:sz w:val="21"/>
          <w:szCs w:val="21"/>
        </w:rPr>
        <w:t>年</w:t>
      </w:r>
      <w:r>
        <w:rPr>
          <w:rFonts w:hint="eastAsia"/>
          <w:color w:val="000000"/>
          <w:sz w:val="21"/>
          <w:szCs w:val="21"/>
          <w:lang w:val="en-US" w:eastAsia="zh-CN"/>
        </w:rPr>
        <w:t>5</w:t>
      </w:r>
      <w:r>
        <w:rPr>
          <w:color w:val="000000"/>
          <w:sz w:val="21"/>
          <w:szCs w:val="21"/>
        </w:rPr>
        <w:t>月，</w:t>
      </w:r>
      <w:r>
        <w:rPr>
          <w:rFonts w:hint="eastAsia"/>
          <w:color w:val="000000"/>
          <w:sz w:val="21"/>
          <w:szCs w:val="21"/>
        </w:rPr>
        <w:t>在</w:t>
      </w:r>
      <w:r>
        <w:rPr>
          <w:rFonts w:hint="eastAsia"/>
          <w:color w:val="000000"/>
          <w:sz w:val="21"/>
          <w:szCs w:val="21"/>
          <w:lang w:eastAsia="zh-CN"/>
        </w:rPr>
        <w:t>南京扩大试点应用，</w:t>
      </w:r>
      <w:r>
        <w:rPr>
          <w:rFonts w:hint="eastAsia"/>
          <w:color w:val="000000"/>
          <w:sz w:val="21"/>
          <w:szCs w:val="21"/>
          <w:lang w:val="en-US" w:eastAsia="zh-CN"/>
        </w:rPr>
        <w:t>并对标准中涉及的关键技术指标进行了验证。</w:t>
      </w:r>
    </w:p>
    <w:p w14:paraId="687AD384">
      <w:pPr>
        <w:pStyle w:val="34"/>
        <w:spacing w:before="120" w:after="120" w:line="276" w:lineRule="auto"/>
        <w:ind w:firstLine="420"/>
        <w:rPr>
          <w:color w:val="000000"/>
          <w:sz w:val="21"/>
          <w:szCs w:val="21"/>
        </w:rPr>
      </w:pPr>
      <w:r>
        <w:rPr>
          <w:color w:val="000000"/>
          <w:sz w:val="21"/>
          <w:szCs w:val="21"/>
        </w:rPr>
        <w:t>202</w:t>
      </w:r>
      <w:r>
        <w:rPr>
          <w:rFonts w:hint="eastAsia"/>
          <w:color w:val="000000"/>
          <w:sz w:val="21"/>
          <w:szCs w:val="21"/>
          <w:lang w:val="en-US" w:eastAsia="zh-CN"/>
        </w:rPr>
        <w:t>4</w:t>
      </w:r>
      <w:r>
        <w:rPr>
          <w:color w:val="000000"/>
          <w:sz w:val="21"/>
          <w:szCs w:val="21"/>
        </w:rPr>
        <w:t>年6月，根据</w:t>
      </w:r>
      <w:r>
        <w:rPr>
          <w:rFonts w:hint="eastAsia"/>
          <w:color w:val="000000"/>
          <w:sz w:val="21"/>
          <w:szCs w:val="21"/>
          <w:lang w:eastAsia="zh-CN"/>
        </w:rPr>
        <w:t>应用</w:t>
      </w:r>
      <w:r>
        <w:rPr>
          <w:rFonts w:hint="eastAsia"/>
          <w:color w:val="000000"/>
          <w:sz w:val="21"/>
          <w:szCs w:val="21"/>
        </w:rPr>
        <w:t>结果对标准中的部分条款</w:t>
      </w:r>
      <w:r>
        <w:rPr>
          <w:color w:val="000000"/>
          <w:sz w:val="21"/>
          <w:szCs w:val="21"/>
        </w:rPr>
        <w:t>进行了修改</w:t>
      </w:r>
      <w:r>
        <w:rPr>
          <w:rFonts w:hint="eastAsia"/>
          <w:color w:val="000000"/>
          <w:sz w:val="21"/>
          <w:szCs w:val="21"/>
        </w:rPr>
        <w:t>完善，组织</w:t>
      </w:r>
      <w:r>
        <w:rPr>
          <w:color w:val="000000"/>
          <w:sz w:val="21"/>
          <w:szCs w:val="21"/>
        </w:rPr>
        <w:t>专家</w:t>
      </w:r>
      <w:r>
        <w:rPr>
          <w:rFonts w:hint="eastAsia"/>
          <w:color w:val="000000"/>
          <w:sz w:val="21"/>
          <w:szCs w:val="21"/>
        </w:rPr>
        <w:t>进行评审，根据专家意见对标准文本进行了修改。</w:t>
      </w:r>
    </w:p>
    <w:p w14:paraId="28E196D9">
      <w:pPr>
        <w:pStyle w:val="34"/>
        <w:spacing w:before="120" w:after="120" w:line="276" w:lineRule="auto"/>
        <w:ind w:firstLine="420"/>
        <w:rPr>
          <w:color w:val="000000"/>
          <w:sz w:val="21"/>
          <w:szCs w:val="21"/>
        </w:rPr>
      </w:pPr>
      <w:r>
        <w:rPr>
          <w:rFonts w:hint="eastAsia"/>
          <w:color w:val="000000"/>
          <w:sz w:val="21"/>
          <w:szCs w:val="21"/>
        </w:rPr>
        <w:t>202</w:t>
      </w:r>
      <w:r>
        <w:rPr>
          <w:rFonts w:hint="eastAsia"/>
          <w:color w:val="000000"/>
          <w:sz w:val="21"/>
          <w:szCs w:val="21"/>
          <w:lang w:val="en-US" w:eastAsia="zh-CN"/>
        </w:rPr>
        <w:t>4</w:t>
      </w:r>
      <w:r>
        <w:rPr>
          <w:rFonts w:hint="eastAsia"/>
          <w:color w:val="000000"/>
          <w:sz w:val="21"/>
          <w:szCs w:val="21"/>
        </w:rPr>
        <w:t>年8月，向青岛特来电新能源股份有限公司</w:t>
      </w:r>
      <w:r>
        <w:rPr>
          <w:rFonts w:hint="eastAsia"/>
          <w:color w:val="000000"/>
          <w:sz w:val="21"/>
          <w:szCs w:val="21"/>
          <w:lang w:eastAsia="zh-CN"/>
        </w:rPr>
        <w:t>、</w:t>
      </w:r>
      <w:r>
        <w:rPr>
          <w:rFonts w:hint="eastAsia"/>
          <w:color w:val="000000"/>
          <w:sz w:val="21"/>
          <w:szCs w:val="21"/>
        </w:rPr>
        <w:t>万帮数字能源股份有限公司</w:t>
      </w:r>
      <w:r>
        <w:rPr>
          <w:rFonts w:hint="eastAsia"/>
          <w:color w:val="000000"/>
          <w:sz w:val="21"/>
          <w:szCs w:val="21"/>
          <w:lang w:eastAsia="zh-CN"/>
        </w:rPr>
        <w:t>、</w:t>
      </w:r>
      <w:r>
        <w:rPr>
          <w:rFonts w:hint="eastAsia"/>
          <w:color w:val="000000"/>
          <w:sz w:val="21"/>
          <w:szCs w:val="21"/>
        </w:rPr>
        <w:t>杭州奥能电源设备有限公司</w:t>
      </w:r>
      <w:r>
        <w:rPr>
          <w:rFonts w:hint="eastAsia"/>
          <w:color w:val="000000"/>
          <w:sz w:val="21"/>
          <w:szCs w:val="21"/>
          <w:lang w:eastAsia="zh-CN"/>
        </w:rPr>
        <w:t>、</w:t>
      </w:r>
      <w:r>
        <w:rPr>
          <w:rFonts w:hint="eastAsia"/>
          <w:color w:val="000000"/>
          <w:sz w:val="21"/>
          <w:szCs w:val="21"/>
        </w:rPr>
        <w:t>领充新能源科技有限公司</w:t>
      </w:r>
      <w:r>
        <w:rPr>
          <w:rFonts w:hint="eastAsia"/>
          <w:color w:val="000000"/>
          <w:sz w:val="21"/>
          <w:szCs w:val="21"/>
          <w:lang w:eastAsia="zh-CN"/>
        </w:rPr>
        <w:t>、</w:t>
      </w:r>
      <w:r>
        <w:rPr>
          <w:rFonts w:hint="eastAsia"/>
          <w:color w:val="000000"/>
          <w:sz w:val="21"/>
          <w:szCs w:val="21"/>
        </w:rPr>
        <w:t>国网电动汽车服务有限公司</w:t>
      </w:r>
      <w:r>
        <w:rPr>
          <w:rFonts w:hint="eastAsia"/>
          <w:color w:val="000000"/>
          <w:sz w:val="21"/>
          <w:szCs w:val="21"/>
          <w:lang w:eastAsia="zh-CN"/>
        </w:rPr>
        <w:t>、</w:t>
      </w:r>
      <w:r>
        <w:rPr>
          <w:rFonts w:hint="eastAsia"/>
          <w:color w:val="000000"/>
          <w:sz w:val="21"/>
          <w:szCs w:val="21"/>
        </w:rPr>
        <w:t>万马奔腾新能源产业集团有限公司</w:t>
      </w:r>
      <w:r>
        <w:rPr>
          <w:rFonts w:hint="eastAsia"/>
          <w:color w:val="000000"/>
          <w:sz w:val="21"/>
          <w:szCs w:val="21"/>
          <w:lang w:eastAsia="zh-CN"/>
        </w:rPr>
        <w:t>、</w:t>
      </w:r>
      <w:r>
        <w:rPr>
          <w:rFonts w:hint="eastAsia"/>
          <w:color w:val="000000"/>
          <w:sz w:val="21"/>
          <w:szCs w:val="21"/>
        </w:rPr>
        <w:t>比亚迪股份有限公司等</w:t>
      </w:r>
      <w:r>
        <w:rPr>
          <w:rFonts w:hint="eastAsia"/>
          <w:color w:val="000000"/>
          <w:sz w:val="21"/>
          <w:szCs w:val="21"/>
          <w:lang w:eastAsia="zh-CN"/>
        </w:rPr>
        <w:t>业内多</w:t>
      </w:r>
      <w:r>
        <w:rPr>
          <w:rFonts w:hint="eastAsia"/>
          <w:color w:val="000000"/>
          <w:sz w:val="21"/>
          <w:szCs w:val="21"/>
        </w:rPr>
        <w:t>家单位征求意见，共收到</w:t>
      </w:r>
      <w:r>
        <w:rPr>
          <w:rFonts w:hint="eastAsia"/>
          <w:color w:val="000000"/>
          <w:sz w:val="21"/>
          <w:szCs w:val="21"/>
          <w:lang w:val="en-US" w:eastAsia="zh-CN"/>
        </w:rPr>
        <w:t>5</w:t>
      </w:r>
      <w:r>
        <w:rPr>
          <w:rFonts w:hint="eastAsia"/>
          <w:color w:val="000000"/>
          <w:sz w:val="21"/>
          <w:szCs w:val="21"/>
        </w:rPr>
        <w:t>家单位的回函，共收到</w:t>
      </w:r>
      <w:r>
        <w:rPr>
          <w:rFonts w:hint="eastAsia"/>
          <w:color w:val="000000"/>
          <w:sz w:val="21"/>
          <w:szCs w:val="21"/>
          <w:lang w:val="en-US" w:eastAsia="zh-CN"/>
        </w:rPr>
        <w:t>28</w:t>
      </w:r>
      <w:r>
        <w:rPr>
          <w:rFonts w:hint="eastAsia"/>
          <w:color w:val="000000"/>
          <w:sz w:val="21"/>
          <w:szCs w:val="21"/>
        </w:rPr>
        <w:t>条修改意见。</w:t>
      </w:r>
    </w:p>
    <w:p w14:paraId="6AAF94B4">
      <w:pPr>
        <w:pStyle w:val="34"/>
        <w:spacing w:before="120" w:after="120" w:line="276" w:lineRule="auto"/>
        <w:ind w:firstLine="420"/>
        <w:rPr>
          <w:color w:val="000000"/>
          <w:sz w:val="21"/>
          <w:szCs w:val="21"/>
        </w:rPr>
      </w:pPr>
      <w:r>
        <w:rPr>
          <w:color w:val="000000"/>
          <w:sz w:val="21"/>
          <w:szCs w:val="21"/>
        </w:rPr>
        <w:t>202</w:t>
      </w:r>
      <w:r>
        <w:rPr>
          <w:rFonts w:hint="eastAsia"/>
          <w:color w:val="000000"/>
          <w:sz w:val="21"/>
          <w:szCs w:val="21"/>
          <w:lang w:val="en-US" w:eastAsia="zh-CN"/>
        </w:rPr>
        <w:t>4</w:t>
      </w:r>
      <w:r>
        <w:rPr>
          <w:color w:val="000000"/>
          <w:sz w:val="21"/>
          <w:szCs w:val="21"/>
        </w:rPr>
        <w:t>年</w:t>
      </w:r>
      <w:r>
        <w:rPr>
          <w:rFonts w:hint="eastAsia"/>
          <w:color w:val="000000"/>
          <w:sz w:val="21"/>
          <w:szCs w:val="21"/>
          <w:lang w:val="en-US" w:eastAsia="zh-CN"/>
        </w:rPr>
        <w:t>10</w:t>
      </w:r>
      <w:r>
        <w:rPr>
          <w:color w:val="000000"/>
          <w:sz w:val="21"/>
          <w:szCs w:val="21"/>
        </w:rPr>
        <w:t>月，</w:t>
      </w:r>
      <w:r>
        <w:rPr>
          <w:rFonts w:hint="eastAsia"/>
          <w:color w:val="000000"/>
          <w:sz w:val="21"/>
          <w:szCs w:val="21"/>
        </w:rPr>
        <w:t>根据</w:t>
      </w:r>
      <w:r>
        <w:rPr>
          <w:rFonts w:hint="eastAsia"/>
          <w:color w:val="000000"/>
          <w:sz w:val="21"/>
          <w:szCs w:val="21"/>
          <w:lang w:eastAsia="zh-CN"/>
        </w:rPr>
        <w:t>返回</w:t>
      </w:r>
      <w:r>
        <w:rPr>
          <w:rFonts w:hint="eastAsia"/>
          <w:color w:val="000000"/>
          <w:sz w:val="21"/>
          <w:szCs w:val="21"/>
        </w:rPr>
        <w:t>意见，标准编写组对标准内容进行</w:t>
      </w:r>
      <w:r>
        <w:rPr>
          <w:rFonts w:hint="eastAsia"/>
          <w:color w:val="000000"/>
          <w:sz w:val="21"/>
          <w:szCs w:val="21"/>
          <w:lang w:eastAsia="zh-CN"/>
        </w:rPr>
        <w:t>讨论和修改完善</w:t>
      </w:r>
      <w:r>
        <w:rPr>
          <w:rFonts w:hint="eastAsia"/>
          <w:color w:val="000000"/>
          <w:sz w:val="21"/>
          <w:szCs w:val="21"/>
        </w:rPr>
        <w:t>。</w:t>
      </w:r>
    </w:p>
    <w:p w14:paraId="51247710">
      <w:pPr>
        <w:pStyle w:val="34"/>
        <w:spacing w:before="120" w:after="120" w:line="276" w:lineRule="auto"/>
        <w:ind w:firstLine="420"/>
        <w:rPr>
          <w:rFonts w:hint="default"/>
          <w:color w:val="000000"/>
          <w:sz w:val="21"/>
          <w:szCs w:val="21"/>
          <w:lang w:val="en-US" w:eastAsia="zh-CN"/>
        </w:rPr>
      </w:pPr>
      <w:r>
        <w:rPr>
          <w:color w:val="000000"/>
          <w:sz w:val="21"/>
          <w:szCs w:val="21"/>
        </w:rPr>
        <w:t>202</w:t>
      </w:r>
      <w:r>
        <w:rPr>
          <w:rFonts w:hint="eastAsia"/>
          <w:color w:val="000000"/>
          <w:sz w:val="21"/>
          <w:szCs w:val="21"/>
          <w:lang w:val="en-US" w:eastAsia="zh-CN"/>
        </w:rPr>
        <w:t>5</w:t>
      </w:r>
      <w:r>
        <w:rPr>
          <w:color w:val="000000"/>
          <w:sz w:val="21"/>
          <w:szCs w:val="21"/>
        </w:rPr>
        <w:t>年</w:t>
      </w:r>
      <w:r>
        <w:rPr>
          <w:rFonts w:hint="eastAsia"/>
          <w:color w:val="000000"/>
          <w:sz w:val="21"/>
          <w:szCs w:val="21"/>
          <w:lang w:val="en-US" w:eastAsia="zh-CN"/>
        </w:rPr>
        <w:t>2</w:t>
      </w:r>
      <w:r>
        <w:rPr>
          <w:color w:val="000000"/>
          <w:sz w:val="21"/>
          <w:szCs w:val="21"/>
        </w:rPr>
        <w:t>月，</w:t>
      </w:r>
      <w:r>
        <w:rPr>
          <w:rFonts w:hint="eastAsia"/>
          <w:color w:val="000000"/>
          <w:sz w:val="21"/>
          <w:szCs w:val="21"/>
        </w:rPr>
        <w:t>标准编写组</w:t>
      </w:r>
      <w:r>
        <w:rPr>
          <w:rFonts w:hint="eastAsia"/>
          <w:color w:val="000000"/>
          <w:sz w:val="21"/>
          <w:szCs w:val="21"/>
          <w:lang w:eastAsia="zh-CN"/>
        </w:rPr>
        <w:t>在南京组织召开标准</w:t>
      </w:r>
      <w:r>
        <w:rPr>
          <w:rFonts w:hint="eastAsia"/>
          <w:color w:val="000000"/>
          <w:sz w:val="21"/>
          <w:szCs w:val="21"/>
          <w:lang w:val="en-US" w:eastAsia="zh-CN"/>
        </w:rPr>
        <w:t>预审</w:t>
      </w:r>
      <w:r>
        <w:rPr>
          <w:rFonts w:hint="eastAsia"/>
          <w:color w:val="000000"/>
          <w:sz w:val="21"/>
          <w:szCs w:val="21"/>
          <w:lang w:eastAsia="zh-CN"/>
        </w:rPr>
        <w:t>会议，与会专家一致同意该标准通过审查，建议扩大标准适用范围，兼容多种有序充电技术实现方案。</w:t>
      </w:r>
      <w:r>
        <w:rPr>
          <w:rFonts w:hint="eastAsia"/>
          <w:color w:val="000000"/>
          <w:sz w:val="21"/>
          <w:szCs w:val="21"/>
          <w:lang w:val="en-US" w:eastAsia="zh-CN"/>
        </w:rPr>
        <w:t>同时，与会专家建议修改标准名字为《低压台区电动汽车有序充电技术规范》。</w:t>
      </w:r>
    </w:p>
    <w:p w14:paraId="4F7FFBCA">
      <w:pPr>
        <w:pStyle w:val="34"/>
        <w:spacing w:before="120" w:after="120" w:line="276" w:lineRule="auto"/>
        <w:ind w:firstLine="420"/>
        <w:rPr>
          <w:rFonts w:hint="eastAsia"/>
          <w:color w:val="000000"/>
          <w:sz w:val="21"/>
          <w:szCs w:val="21"/>
          <w:lang w:val="en-US" w:eastAsia="zh-CN"/>
        </w:rPr>
      </w:pPr>
      <w:r>
        <w:rPr>
          <w:color w:val="000000"/>
          <w:sz w:val="21"/>
          <w:szCs w:val="21"/>
        </w:rPr>
        <w:t>202</w:t>
      </w:r>
      <w:r>
        <w:rPr>
          <w:rFonts w:hint="eastAsia"/>
          <w:color w:val="000000"/>
          <w:sz w:val="21"/>
          <w:szCs w:val="21"/>
          <w:lang w:val="en-US" w:eastAsia="zh-CN"/>
        </w:rPr>
        <w:t>5</w:t>
      </w:r>
      <w:r>
        <w:rPr>
          <w:color w:val="000000"/>
          <w:sz w:val="21"/>
          <w:szCs w:val="21"/>
        </w:rPr>
        <w:t>年</w:t>
      </w:r>
      <w:r>
        <w:rPr>
          <w:rFonts w:hint="eastAsia"/>
          <w:color w:val="000000"/>
          <w:sz w:val="21"/>
          <w:szCs w:val="21"/>
          <w:lang w:val="en-US" w:eastAsia="zh-CN"/>
        </w:rPr>
        <w:t>2</w:t>
      </w:r>
      <w:r>
        <w:rPr>
          <w:color w:val="000000"/>
          <w:sz w:val="21"/>
          <w:szCs w:val="21"/>
        </w:rPr>
        <w:t>月，</w:t>
      </w:r>
      <w:r>
        <w:rPr>
          <w:rFonts w:hint="eastAsia"/>
          <w:color w:val="000000"/>
          <w:sz w:val="21"/>
          <w:szCs w:val="21"/>
        </w:rPr>
        <w:t>标准编写组</w:t>
      </w:r>
      <w:r>
        <w:rPr>
          <w:rFonts w:hint="eastAsia"/>
          <w:color w:val="000000"/>
          <w:sz w:val="21"/>
          <w:szCs w:val="21"/>
          <w:lang w:val="en-US" w:eastAsia="zh-CN"/>
        </w:rPr>
        <w:t>针对专家意见，组织团队修改完善，形成正式征求意见稿。</w:t>
      </w:r>
    </w:p>
    <w:p w14:paraId="2A9AA37E">
      <w:pPr>
        <w:pStyle w:val="34"/>
        <w:spacing w:before="120" w:after="120" w:line="276" w:lineRule="auto"/>
        <w:ind w:firstLine="420"/>
        <w:rPr>
          <w:rFonts w:hint="eastAsia"/>
          <w:color w:val="000000"/>
          <w:sz w:val="21"/>
          <w:szCs w:val="21"/>
          <w:lang w:val="en-US" w:eastAsia="zh-CN"/>
        </w:rPr>
      </w:pPr>
      <w:r>
        <w:rPr>
          <w:color w:val="000000"/>
          <w:sz w:val="21"/>
          <w:szCs w:val="21"/>
        </w:rPr>
        <w:t>202</w:t>
      </w:r>
      <w:r>
        <w:rPr>
          <w:rFonts w:hint="eastAsia"/>
          <w:color w:val="000000"/>
          <w:sz w:val="21"/>
          <w:szCs w:val="21"/>
          <w:lang w:val="en-US" w:eastAsia="zh-CN"/>
        </w:rPr>
        <w:t>5</w:t>
      </w:r>
      <w:r>
        <w:rPr>
          <w:color w:val="000000"/>
          <w:sz w:val="21"/>
          <w:szCs w:val="21"/>
        </w:rPr>
        <w:t>年</w:t>
      </w:r>
      <w:r>
        <w:rPr>
          <w:rFonts w:hint="default"/>
          <w:color w:val="000000"/>
          <w:sz w:val="21"/>
          <w:szCs w:val="21"/>
          <w:lang w:val="en-US" w:eastAsia="zh-CN"/>
        </w:rPr>
        <w:t>5</w:t>
      </w:r>
      <w:r>
        <w:rPr>
          <w:color w:val="000000"/>
          <w:sz w:val="21"/>
          <w:szCs w:val="21"/>
        </w:rPr>
        <w:t>月，</w:t>
      </w:r>
      <w:r>
        <w:rPr>
          <w:rFonts w:hint="eastAsia"/>
          <w:color w:val="000000"/>
          <w:sz w:val="21"/>
          <w:szCs w:val="21"/>
          <w:lang w:eastAsia="zh-CN"/>
        </w:rPr>
        <w:t>组织征求意见，共征集</w:t>
      </w:r>
      <w:r>
        <w:rPr>
          <w:rFonts w:hint="eastAsia"/>
          <w:color w:val="000000"/>
          <w:sz w:val="21"/>
          <w:szCs w:val="21"/>
          <w:lang w:val="en-US" w:eastAsia="zh-CN"/>
        </w:rPr>
        <w:t>32条意见，采纳27条，不采纳4条，部分采纳1条，修改完善形成送审稿。</w:t>
      </w:r>
    </w:p>
    <w:p w14:paraId="3499A240">
      <w:pPr>
        <w:pStyle w:val="34"/>
        <w:spacing w:before="120" w:after="120" w:line="276" w:lineRule="auto"/>
        <w:ind w:firstLine="420"/>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2025年11月，江苏省市场监管局组织召开了标准审查会议，专家听取了编制组关于标准编制情况的汇报，并对标准送审稿进行审查，建议在原有文本基础上对少数内容进行修改完善后报批。</w:t>
      </w:r>
    </w:p>
    <w:p w14:paraId="2773751D">
      <w:pPr>
        <w:pStyle w:val="34"/>
        <w:spacing w:before="120" w:after="120" w:line="276" w:lineRule="auto"/>
        <w:ind w:firstLine="420"/>
        <w:rPr>
          <w:rFonts w:hint="eastAsia" w:ascii="宋体" w:hAnsi="宋体" w:eastAsia="宋体"/>
          <w:color w:val="000000"/>
          <w:sz w:val="21"/>
          <w:szCs w:val="21"/>
          <w:lang w:val="en-US" w:eastAsia="zh-CN"/>
        </w:rPr>
      </w:pPr>
      <w:r>
        <w:rPr>
          <w:rFonts w:hint="eastAsia" w:ascii="宋体" w:hAnsi="宋体" w:eastAsia="宋体"/>
          <w:color w:val="000000"/>
          <w:sz w:val="21"/>
          <w:szCs w:val="21"/>
          <w:lang w:eastAsia="zh-CN"/>
        </w:rPr>
        <w:t>2025年11月至12月，根据标准审查会议专家的意见修改送审稿，形成报批稿。</w:t>
      </w:r>
    </w:p>
    <w:p w14:paraId="3D9D51D2">
      <w:pPr>
        <w:pStyle w:val="76"/>
        <w:numPr>
          <w:ilvl w:val="0"/>
          <w:numId w:val="22"/>
        </w:numPr>
        <w:spacing w:before="240" w:after="240"/>
        <w:rPr>
          <w:color w:val="000000"/>
        </w:rPr>
      </w:pPr>
      <w:bookmarkStart w:id="11" w:name="_Toc497087672"/>
      <w:bookmarkStart w:id="12" w:name="_Toc338340185"/>
      <w:bookmarkStart w:id="13" w:name="_Toc495476952"/>
      <w:bookmarkStart w:id="14" w:name="_Toc4427"/>
      <w:bookmarkStart w:id="15" w:name="_Toc10462825"/>
      <w:r>
        <w:rPr>
          <w:rFonts w:hint="eastAsia"/>
          <w:color w:val="000000"/>
        </w:rPr>
        <w:t>主要内容</w:t>
      </w:r>
      <w:bookmarkEnd w:id="11"/>
      <w:bookmarkEnd w:id="12"/>
      <w:bookmarkEnd w:id="13"/>
      <w:bookmarkEnd w:id="14"/>
      <w:bookmarkEnd w:id="15"/>
    </w:p>
    <w:p w14:paraId="22FB6272">
      <w:pPr>
        <w:pStyle w:val="34"/>
        <w:spacing w:before="120" w:after="120" w:line="276" w:lineRule="auto"/>
        <w:ind w:firstLine="420"/>
        <w:rPr>
          <w:rFonts w:hint="default" w:eastAsia="宋体"/>
          <w:color w:val="000000"/>
          <w:sz w:val="21"/>
          <w:szCs w:val="21"/>
          <w:lang w:val="en-US" w:eastAsia="zh-CN"/>
        </w:rPr>
      </w:pPr>
      <w:r>
        <w:rPr>
          <w:rFonts w:hint="eastAsia"/>
          <w:color w:val="000000"/>
          <w:sz w:val="21"/>
          <w:szCs w:val="21"/>
        </w:rPr>
        <w:t>本标准共</w:t>
      </w:r>
      <w:r>
        <w:rPr>
          <w:rFonts w:hint="eastAsia"/>
          <w:color w:val="000000"/>
          <w:sz w:val="21"/>
          <w:szCs w:val="21"/>
          <w:lang w:val="en-US" w:eastAsia="zh-CN"/>
        </w:rPr>
        <w:t>9</w:t>
      </w:r>
      <w:r>
        <w:rPr>
          <w:rFonts w:hint="eastAsia"/>
          <w:color w:val="000000"/>
          <w:sz w:val="21"/>
          <w:szCs w:val="21"/>
        </w:rPr>
        <w:t>章，其中，</w:t>
      </w:r>
      <w:r>
        <w:rPr>
          <w:color w:val="000000"/>
          <w:sz w:val="21"/>
          <w:szCs w:val="21"/>
        </w:rPr>
        <w:t>标准的1-</w:t>
      </w:r>
      <w:r>
        <w:rPr>
          <w:rFonts w:hint="eastAsia"/>
          <w:color w:val="000000"/>
          <w:sz w:val="21"/>
          <w:szCs w:val="21"/>
          <w:lang w:val="en-US" w:eastAsia="zh-CN"/>
        </w:rPr>
        <w:t>3</w:t>
      </w:r>
      <w:r>
        <w:rPr>
          <w:color w:val="000000"/>
          <w:sz w:val="21"/>
          <w:szCs w:val="21"/>
        </w:rPr>
        <w:t>章对标准的适用范围、规范性引用文件以及相关术语进行了说明；</w:t>
      </w:r>
      <w:r>
        <w:rPr>
          <w:rFonts w:hint="eastAsia"/>
          <w:color w:val="000000"/>
          <w:sz w:val="21"/>
          <w:szCs w:val="21"/>
          <w:lang w:val="en-US" w:eastAsia="zh-CN"/>
        </w:rPr>
        <w:t>4</w:t>
      </w:r>
      <w:r>
        <w:rPr>
          <w:color w:val="000000"/>
          <w:sz w:val="21"/>
          <w:szCs w:val="21"/>
        </w:rPr>
        <w:t>-</w:t>
      </w:r>
      <w:r>
        <w:rPr>
          <w:rFonts w:hint="eastAsia"/>
          <w:color w:val="000000"/>
          <w:sz w:val="21"/>
          <w:szCs w:val="21"/>
          <w:lang w:val="en-US" w:eastAsia="zh-CN"/>
        </w:rPr>
        <w:t>9</w:t>
      </w:r>
      <w:r>
        <w:rPr>
          <w:color w:val="000000"/>
          <w:sz w:val="21"/>
          <w:szCs w:val="21"/>
        </w:rPr>
        <w:t>章是标准的主体部分</w:t>
      </w:r>
      <w:r>
        <w:rPr>
          <w:rFonts w:hint="eastAsia"/>
          <w:color w:val="000000"/>
          <w:sz w:val="21"/>
          <w:szCs w:val="21"/>
        </w:rPr>
        <w:t>，包括</w:t>
      </w:r>
      <w:r>
        <w:rPr>
          <w:rFonts w:hint="eastAsia"/>
          <w:color w:val="000000"/>
          <w:sz w:val="21"/>
          <w:szCs w:val="21"/>
          <w:lang w:val="en-US" w:eastAsia="zh-CN"/>
        </w:rPr>
        <w:t>有序充电系统架构和功能要求、有序充电设备技术要求、有序充电管理终端技术要求、充电运营管理平台技术要求、有序充电管理平台技术要求及信息安全。具体条文说明如下。</w:t>
      </w:r>
    </w:p>
    <w:p w14:paraId="4480EB35">
      <w:pPr>
        <w:pStyle w:val="34"/>
        <w:spacing w:before="120" w:after="120" w:line="276" w:lineRule="auto"/>
        <w:ind w:firstLine="420"/>
        <w:rPr>
          <w:color w:val="000000"/>
          <w:sz w:val="21"/>
          <w:szCs w:val="21"/>
        </w:rPr>
      </w:pPr>
      <w:r>
        <w:rPr>
          <w:rFonts w:hint="eastAsia"/>
          <w:color w:val="000000"/>
          <w:sz w:val="21"/>
          <w:szCs w:val="21"/>
        </w:rPr>
        <w:t>（1）范围</w:t>
      </w:r>
    </w:p>
    <w:p w14:paraId="0717C560">
      <w:pPr>
        <w:pStyle w:val="34"/>
        <w:spacing w:before="0" w:beforeLines="0" w:after="0" w:afterLines="0"/>
        <w:ind w:firstLine="420"/>
        <w:rPr>
          <w:rFonts w:hint="eastAsia" w:eastAsia="宋体"/>
          <w:color w:val="000000"/>
          <w:sz w:val="21"/>
          <w:szCs w:val="21"/>
          <w:lang w:eastAsia="zh-CN"/>
        </w:rPr>
      </w:pPr>
      <w:r>
        <w:rPr>
          <w:rFonts w:hint="eastAsia"/>
          <w:color w:val="000000"/>
          <w:sz w:val="21"/>
          <w:szCs w:val="21"/>
        </w:rPr>
        <w:t>本文件</w:t>
      </w:r>
      <w:r>
        <w:rPr>
          <w:rFonts w:hint="eastAsia"/>
          <w:color w:val="000000"/>
          <w:sz w:val="21"/>
          <w:szCs w:val="21"/>
          <w:lang w:val="en-US" w:eastAsia="zh-CN"/>
        </w:rPr>
        <w:t>规定了</w:t>
      </w:r>
      <w:r>
        <w:rPr>
          <w:rFonts w:hint="eastAsia"/>
          <w:sz w:val="21"/>
          <w:szCs w:val="21"/>
        </w:rPr>
        <w:t>低压台区电动汽车有序充电</w:t>
      </w:r>
      <w:r>
        <w:rPr>
          <w:rFonts w:hint="eastAsia"/>
          <w:sz w:val="21"/>
          <w:szCs w:val="21"/>
          <w:lang w:eastAsia="zh-CN"/>
        </w:rPr>
        <w:t>的</w:t>
      </w:r>
      <w:r>
        <w:rPr>
          <w:rFonts w:hint="eastAsia"/>
          <w:sz w:val="21"/>
          <w:szCs w:val="21"/>
          <w:lang w:val="en-US" w:eastAsia="zh-CN"/>
        </w:rPr>
        <w:t>系统架构</w:t>
      </w:r>
      <w:r>
        <w:rPr>
          <w:rFonts w:hint="eastAsia"/>
          <w:sz w:val="21"/>
          <w:szCs w:val="21"/>
          <w:lang w:eastAsia="zh-CN"/>
        </w:rPr>
        <w:t>、</w:t>
      </w:r>
      <w:r>
        <w:rPr>
          <w:rFonts w:hint="eastAsia"/>
          <w:sz w:val="21"/>
          <w:szCs w:val="21"/>
          <w:lang w:val="en-US" w:eastAsia="zh-CN"/>
        </w:rPr>
        <w:t>有序充电设备</w:t>
      </w:r>
      <w:r>
        <w:rPr>
          <w:rFonts w:hint="eastAsia"/>
          <w:sz w:val="21"/>
          <w:szCs w:val="21"/>
          <w:lang w:eastAsia="zh-CN"/>
        </w:rPr>
        <w:t>、</w:t>
      </w:r>
      <w:r>
        <w:rPr>
          <w:rFonts w:hint="eastAsia"/>
          <w:sz w:val="21"/>
          <w:szCs w:val="21"/>
          <w:lang w:val="en-US" w:eastAsia="zh-CN"/>
        </w:rPr>
        <w:t>有序充电管理终端、有序充电管理平台、运营管理平台</w:t>
      </w:r>
      <w:r>
        <w:rPr>
          <w:rFonts w:hint="eastAsia"/>
          <w:sz w:val="21"/>
          <w:szCs w:val="21"/>
          <w:lang w:eastAsia="zh-CN"/>
        </w:rPr>
        <w:t>和信息安全的</w:t>
      </w:r>
      <w:r>
        <w:rPr>
          <w:rFonts w:hint="eastAsia"/>
          <w:sz w:val="21"/>
          <w:szCs w:val="21"/>
          <w:lang w:val="en-US" w:eastAsia="zh-CN"/>
        </w:rPr>
        <w:t>技术</w:t>
      </w:r>
      <w:r>
        <w:rPr>
          <w:rFonts w:hint="eastAsia"/>
          <w:sz w:val="21"/>
          <w:szCs w:val="21"/>
          <w:lang w:eastAsia="zh-CN"/>
        </w:rPr>
        <w:t>要求</w:t>
      </w:r>
      <w:r>
        <w:rPr>
          <w:sz w:val="21"/>
          <w:szCs w:val="21"/>
        </w:rPr>
        <w:t>。</w:t>
      </w:r>
      <w:r>
        <w:rPr>
          <w:rFonts w:hint="eastAsia"/>
          <w:sz w:val="21"/>
          <w:szCs w:val="21"/>
          <w:lang w:val="en-US" w:eastAsia="zh-CN"/>
        </w:rPr>
        <w:t>强调</w:t>
      </w:r>
      <w:r>
        <w:rPr>
          <w:sz w:val="21"/>
          <w:szCs w:val="21"/>
        </w:rPr>
        <w:t>本文件适用</w:t>
      </w:r>
      <w:r>
        <w:rPr>
          <w:rFonts w:hint="eastAsia"/>
          <w:sz w:val="21"/>
          <w:szCs w:val="21"/>
        </w:rPr>
        <w:t>于</w:t>
      </w:r>
      <w:r>
        <w:rPr>
          <w:rFonts w:hint="eastAsia"/>
          <w:sz w:val="21"/>
          <w:szCs w:val="21"/>
          <w:lang w:val="en-US" w:eastAsia="zh-CN"/>
        </w:rPr>
        <w:t>220V</w:t>
      </w:r>
      <w:r>
        <w:rPr>
          <w:rFonts w:hint="default"/>
          <w:sz w:val="21"/>
          <w:szCs w:val="21"/>
          <w:lang w:val="en-US" w:eastAsia="zh-CN"/>
        </w:rPr>
        <w:t>/</w:t>
      </w:r>
      <w:r>
        <w:rPr>
          <w:rFonts w:hint="eastAsia"/>
          <w:sz w:val="21"/>
          <w:szCs w:val="21"/>
          <w:lang w:val="en-US" w:eastAsia="zh-CN"/>
        </w:rPr>
        <w:t>380V电压等级的低压台区</w:t>
      </w:r>
      <w:r>
        <w:rPr>
          <w:rFonts w:hint="eastAsia"/>
          <w:sz w:val="21"/>
          <w:szCs w:val="21"/>
          <w:lang w:eastAsia="zh-CN"/>
        </w:rPr>
        <w:t>电动汽车</w:t>
      </w:r>
      <w:r>
        <w:rPr>
          <w:rFonts w:hint="eastAsia"/>
          <w:sz w:val="21"/>
          <w:szCs w:val="21"/>
          <w:lang w:val="en-US" w:eastAsia="zh-CN"/>
        </w:rPr>
        <w:t>有序</w:t>
      </w:r>
      <w:r>
        <w:rPr>
          <w:rFonts w:hint="eastAsia"/>
          <w:sz w:val="21"/>
          <w:szCs w:val="21"/>
          <w:lang w:eastAsia="zh-CN"/>
        </w:rPr>
        <w:t>充电</w:t>
      </w:r>
      <w:r>
        <w:rPr>
          <w:rFonts w:hint="eastAsia"/>
          <w:sz w:val="21"/>
          <w:szCs w:val="21"/>
          <w:lang w:val="en-US" w:eastAsia="zh-CN"/>
        </w:rPr>
        <w:t>系统的设计、建设等。</w:t>
      </w:r>
      <w:r>
        <w:rPr>
          <w:rFonts w:hint="eastAsia"/>
          <w:color w:val="000000"/>
          <w:sz w:val="21"/>
          <w:szCs w:val="21"/>
          <w:lang w:eastAsia="zh-CN"/>
        </w:rPr>
        <w:t>其他充电设施可以参照执行，但不进行强制规定。</w:t>
      </w:r>
    </w:p>
    <w:p w14:paraId="1F8E5F33">
      <w:pPr>
        <w:pStyle w:val="34"/>
        <w:spacing w:before="120" w:after="120" w:line="276" w:lineRule="auto"/>
        <w:ind w:firstLine="420"/>
        <w:rPr>
          <w:color w:val="000000"/>
          <w:sz w:val="21"/>
          <w:szCs w:val="21"/>
        </w:rPr>
      </w:pPr>
      <w:r>
        <w:rPr>
          <w:rFonts w:hint="eastAsia"/>
          <w:color w:val="000000"/>
          <w:sz w:val="21"/>
          <w:szCs w:val="21"/>
        </w:rPr>
        <w:t>（2）规范性引用文件</w:t>
      </w:r>
    </w:p>
    <w:p w14:paraId="13512B3C">
      <w:pPr>
        <w:pStyle w:val="34"/>
        <w:spacing w:before="120" w:after="120" w:line="276" w:lineRule="auto"/>
        <w:ind w:firstLine="420"/>
        <w:rPr>
          <w:color w:val="000000"/>
          <w:sz w:val="21"/>
          <w:szCs w:val="21"/>
        </w:rPr>
      </w:pPr>
      <w:r>
        <w:rPr>
          <w:rFonts w:hint="eastAsia"/>
          <w:color w:val="000000"/>
          <w:sz w:val="21"/>
          <w:szCs w:val="21"/>
        </w:rPr>
        <w:t>列出了与本技术规范内容相关的标准。引用的原则为：逐条列出与本标准内容有关的主要</w:t>
      </w:r>
      <w:r>
        <w:rPr>
          <w:rFonts w:hint="eastAsia"/>
          <w:color w:val="000000"/>
          <w:sz w:val="21"/>
          <w:szCs w:val="21"/>
          <w:lang w:eastAsia="zh-CN"/>
        </w:rPr>
        <w:t>行业</w:t>
      </w:r>
      <w:r>
        <w:rPr>
          <w:rFonts w:hint="eastAsia"/>
          <w:color w:val="000000"/>
          <w:sz w:val="21"/>
          <w:szCs w:val="21"/>
        </w:rPr>
        <w:t>标准。</w:t>
      </w:r>
    </w:p>
    <w:p w14:paraId="4FFA8F80">
      <w:pPr>
        <w:pStyle w:val="34"/>
        <w:spacing w:before="120" w:after="120" w:line="276" w:lineRule="auto"/>
        <w:ind w:firstLine="420"/>
        <w:rPr>
          <w:color w:val="000000"/>
          <w:sz w:val="21"/>
          <w:szCs w:val="21"/>
        </w:rPr>
      </w:pPr>
      <w:r>
        <w:rPr>
          <w:rFonts w:hint="eastAsia"/>
          <w:color w:val="000000"/>
          <w:sz w:val="21"/>
          <w:szCs w:val="21"/>
        </w:rPr>
        <w:t>（3）术语和定义</w:t>
      </w:r>
    </w:p>
    <w:p w14:paraId="043CDA5B">
      <w:pPr>
        <w:pStyle w:val="34"/>
        <w:spacing w:before="120" w:after="120" w:line="276" w:lineRule="auto"/>
        <w:ind w:firstLine="420"/>
        <w:rPr>
          <w:rFonts w:hint="eastAsia" w:ascii="宋体" w:hAnsi="宋体" w:eastAsia="宋体" w:cs="Times New Roman"/>
          <w:color w:val="000000"/>
          <w:sz w:val="21"/>
          <w:szCs w:val="21"/>
          <w:lang w:eastAsia="zh-CN"/>
        </w:rPr>
      </w:pPr>
      <w:r>
        <w:rPr>
          <w:rFonts w:cs="黑体"/>
          <w:sz w:val="21"/>
          <w:szCs w:val="21"/>
        </w:rPr>
        <w:t>GB/T 18487.1</w:t>
      </w:r>
      <w:r>
        <w:rPr>
          <w:rFonts w:hint="eastAsia"/>
          <w:color w:val="000000"/>
          <w:sz w:val="21"/>
          <w:szCs w:val="21"/>
        </w:rPr>
        <w:t>界定的术语和定义适用于本文件，另外本标准</w:t>
      </w:r>
      <w:r>
        <w:rPr>
          <w:rFonts w:hint="eastAsia"/>
          <w:color w:val="000000"/>
          <w:sz w:val="21"/>
          <w:szCs w:val="21"/>
          <w:lang w:eastAsia="zh-CN"/>
        </w:rPr>
        <w:t>参照</w:t>
      </w:r>
      <w:r>
        <w:rPr>
          <w:rFonts w:hint="eastAsia" w:cs="黑体"/>
          <w:sz w:val="21"/>
          <w:szCs w:val="21"/>
          <w:lang w:val="en-US" w:eastAsia="zh-CN"/>
        </w:rPr>
        <w:t>JJF（苏）227</w:t>
      </w:r>
      <w:r>
        <w:rPr>
          <w:rFonts w:cs="黑体"/>
          <w:sz w:val="21"/>
          <w:szCs w:val="21"/>
        </w:rPr>
        <w:t>-201</w:t>
      </w:r>
      <w:r>
        <w:rPr>
          <w:rFonts w:hint="eastAsia" w:cs="黑体"/>
          <w:sz w:val="21"/>
          <w:szCs w:val="21"/>
          <w:lang w:val="en-US" w:eastAsia="zh-CN"/>
        </w:rPr>
        <w:t>9和NB/T 11305.2—2023改写或直接引用</w:t>
      </w:r>
      <w:r>
        <w:rPr>
          <w:rFonts w:hint="eastAsia" w:ascii="宋体" w:hAnsi="宋体" w:eastAsia="宋体" w:cs="Times New Roman"/>
          <w:color w:val="000000"/>
          <w:sz w:val="21"/>
          <w:szCs w:val="21"/>
          <w:lang w:val="en-US" w:eastAsia="zh-CN"/>
        </w:rPr>
        <w:t>了</w:t>
      </w:r>
      <w:r>
        <w:rPr>
          <w:rFonts w:hint="eastAsia" w:cs="Times New Roman"/>
          <w:color w:val="000000"/>
          <w:sz w:val="21"/>
          <w:szCs w:val="21"/>
          <w:lang w:val="en-US" w:eastAsia="zh-CN"/>
        </w:rPr>
        <w:t>六</w:t>
      </w:r>
      <w:r>
        <w:rPr>
          <w:rFonts w:hint="eastAsia" w:ascii="宋体" w:hAnsi="宋体" w:eastAsia="宋体" w:cs="Times New Roman"/>
          <w:color w:val="000000"/>
          <w:sz w:val="21"/>
          <w:szCs w:val="21"/>
          <w:lang w:eastAsia="zh-CN"/>
        </w:rPr>
        <w:t>个术语定义，包括低压台区、有序充电、有序充电设备、有序充电</w:t>
      </w:r>
      <w:r>
        <w:rPr>
          <w:rFonts w:hint="eastAsia" w:cs="Times New Roman"/>
          <w:color w:val="000000"/>
          <w:sz w:val="21"/>
          <w:szCs w:val="21"/>
          <w:lang w:val="en-US" w:eastAsia="zh-CN"/>
        </w:rPr>
        <w:t>管理</w:t>
      </w:r>
      <w:r>
        <w:rPr>
          <w:rFonts w:hint="eastAsia" w:ascii="宋体" w:hAnsi="宋体" w:eastAsia="宋体" w:cs="Times New Roman"/>
          <w:color w:val="000000"/>
          <w:sz w:val="21"/>
          <w:szCs w:val="21"/>
          <w:lang w:eastAsia="zh-CN"/>
        </w:rPr>
        <w:t>终端、有序充电管理</w:t>
      </w:r>
      <w:r>
        <w:rPr>
          <w:rFonts w:hint="eastAsia" w:cs="Times New Roman"/>
          <w:color w:val="000000"/>
          <w:sz w:val="21"/>
          <w:szCs w:val="21"/>
          <w:lang w:val="en-US" w:eastAsia="zh-CN"/>
        </w:rPr>
        <w:t>平台、充电运营管理平台</w:t>
      </w:r>
      <w:r>
        <w:rPr>
          <w:rFonts w:hint="eastAsia" w:ascii="宋体" w:hAnsi="宋体" w:eastAsia="宋体" w:cs="Times New Roman"/>
          <w:color w:val="000000"/>
          <w:sz w:val="21"/>
          <w:szCs w:val="21"/>
          <w:lang w:eastAsia="zh-CN"/>
        </w:rPr>
        <w:t>。</w:t>
      </w:r>
      <w:r>
        <w:rPr>
          <w:rFonts w:hint="eastAsia" w:cs="Times New Roman"/>
          <w:color w:val="000000"/>
          <w:sz w:val="21"/>
          <w:szCs w:val="21"/>
          <w:lang w:eastAsia="zh-CN"/>
        </w:rPr>
        <w:t>有序充电定义增加了限定词“</w:t>
      </w:r>
      <w:r>
        <w:rPr>
          <w:rFonts w:hint="eastAsia" w:cs="黑体"/>
          <w:sz w:val="21"/>
          <w:szCs w:val="21"/>
          <w:highlight w:val="none"/>
          <w:lang w:eastAsia="zh-CN"/>
        </w:rPr>
        <w:t>接入低压台区配电变压器</w:t>
      </w:r>
      <w:r>
        <w:rPr>
          <w:rFonts w:hint="eastAsia" w:cs="Times New Roman"/>
          <w:color w:val="000000"/>
          <w:sz w:val="21"/>
          <w:szCs w:val="21"/>
          <w:lang w:eastAsia="zh-CN"/>
        </w:rPr>
        <w:t>”和“充电时间”调整。</w:t>
      </w:r>
      <w:r>
        <w:rPr>
          <w:rFonts w:hint="eastAsia" w:ascii="宋体" w:hAnsi="宋体" w:eastAsia="宋体" w:cs="Times New Roman"/>
          <w:color w:val="000000"/>
          <w:sz w:val="21"/>
          <w:szCs w:val="21"/>
          <w:lang w:eastAsia="zh-CN"/>
        </w:rPr>
        <w:t>有序充电设备</w:t>
      </w:r>
      <w:r>
        <w:rPr>
          <w:rFonts w:hint="eastAsia" w:cs="Times New Roman"/>
          <w:color w:val="000000"/>
          <w:sz w:val="21"/>
          <w:szCs w:val="21"/>
          <w:lang w:eastAsia="zh-CN"/>
        </w:rPr>
        <w:t>定义增加了</w:t>
      </w:r>
      <w:r>
        <w:rPr>
          <w:rFonts w:hint="eastAsia"/>
          <w:sz w:val="21"/>
          <w:szCs w:val="21"/>
          <w:highlight w:val="none"/>
          <w:lang w:eastAsia="zh-CN"/>
        </w:rPr>
        <w:t>充电桩、充电机。有序充电</w:t>
      </w:r>
      <w:r>
        <w:rPr>
          <w:rFonts w:hint="eastAsia"/>
          <w:sz w:val="21"/>
          <w:szCs w:val="21"/>
          <w:highlight w:val="none"/>
          <w:lang w:val="en-US" w:eastAsia="zh-CN"/>
        </w:rPr>
        <w:t>管理</w:t>
      </w:r>
      <w:r>
        <w:rPr>
          <w:rFonts w:hint="eastAsia"/>
          <w:sz w:val="21"/>
          <w:szCs w:val="21"/>
          <w:highlight w:val="none"/>
          <w:lang w:eastAsia="zh-CN"/>
        </w:rPr>
        <w:t>终端定义增加了可以制定有序充电策略。</w:t>
      </w:r>
    </w:p>
    <w:p w14:paraId="7618A4BB">
      <w:pPr>
        <w:pStyle w:val="34"/>
        <w:spacing w:before="120" w:after="120" w:line="276" w:lineRule="auto"/>
        <w:ind w:firstLine="420"/>
        <w:rPr>
          <w:rFonts w:hint="default"/>
          <w:color w:val="000000"/>
          <w:sz w:val="21"/>
          <w:szCs w:val="21"/>
          <w:lang w:val="en-US"/>
        </w:rPr>
      </w:pPr>
      <w:r>
        <w:rPr>
          <w:rFonts w:hint="eastAsia"/>
          <w:color w:val="000000"/>
          <w:sz w:val="21"/>
          <w:szCs w:val="21"/>
        </w:rPr>
        <w:t>（</w:t>
      </w:r>
      <w:r>
        <w:rPr>
          <w:rFonts w:hint="eastAsia"/>
          <w:color w:val="000000"/>
          <w:sz w:val="21"/>
          <w:szCs w:val="21"/>
          <w:lang w:val="en-US" w:eastAsia="zh-CN"/>
        </w:rPr>
        <w:t>4</w:t>
      </w:r>
      <w:r>
        <w:rPr>
          <w:rFonts w:hint="eastAsia"/>
          <w:color w:val="000000"/>
          <w:sz w:val="21"/>
          <w:szCs w:val="21"/>
        </w:rPr>
        <w:t>）</w:t>
      </w:r>
      <w:r>
        <w:rPr>
          <w:rFonts w:hint="eastAsia"/>
          <w:color w:val="000000"/>
          <w:sz w:val="21"/>
          <w:szCs w:val="21"/>
          <w:lang w:val="en-US" w:eastAsia="zh-CN"/>
        </w:rPr>
        <w:t>有序充电系统架构和功能要求</w:t>
      </w:r>
    </w:p>
    <w:p w14:paraId="62503677">
      <w:pPr>
        <w:pStyle w:val="34"/>
        <w:spacing w:before="120" w:after="120" w:line="276" w:lineRule="auto"/>
        <w:ind w:firstLine="420"/>
        <w:rPr>
          <w:rFonts w:hint="eastAsia" w:cs="Times New Roman"/>
          <w:sz w:val="21"/>
          <w:szCs w:val="21"/>
          <w:lang w:val="en-US" w:eastAsia="zh-CN" w:bidi="ar-SA"/>
        </w:rPr>
      </w:pPr>
      <w:r>
        <w:rPr>
          <w:rFonts w:hint="eastAsia"/>
          <w:color w:val="000000"/>
          <w:sz w:val="21"/>
          <w:szCs w:val="21"/>
        </w:rPr>
        <w:t>本章</w:t>
      </w:r>
      <w:r>
        <w:rPr>
          <w:rFonts w:hint="eastAsia"/>
          <w:color w:val="000000"/>
          <w:sz w:val="21"/>
          <w:szCs w:val="21"/>
          <w:lang w:val="en-US" w:eastAsia="zh-CN"/>
        </w:rPr>
        <w:t>对一个典型的低压台区电动汽车有序充电系统的组成进行了阐述，</w:t>
      </w:r>
      <w:r>
        <w:rPr>
          <w:rFonts w:hint="eastAsia" w:cs="Times New Roman"/>
          <w:sz w:val="21"/>
          <w:szCs w:val="21"/>
          <w:lang w:val="en-US" w:eastAsia="zh-CN" w:bidi="ar-SA"/>
        </w:rPr>
        <w:t>电动汽车有序充电系统的基本构成包括有序充电管理平台和有序充电设备，还可包含有序充电管理终端、充电运营管理平台，主要有充电设备直连管理平台、充电设备通过管理终端连接管理平台、充电设备通过运营平台连接管理平台等3种模式，可根据应用场景进行选择。</w:t>
      </w:r>
    </w:p>
    <w:p w14:paraId="35AF148C">
      <w:pPr>
        <w:pStyle w:val="34"/>
        <w:spacing w:before="120" w:after="120" w:line="276" w:lineRule="auto"/>
        <w:ind w:firstLine="420"/>
        <w:rPr>
          <w:color w:val="000000"/>
          <w:sz w:val="21"/>
          <w:szCs w:val="21"/>
        </w:rPr>
      </w:pPr>
      <w:r>
        <w:rPr>
          <w:rFonts w:hint="eastAsia"/>
          <w:color w:val="000000"/>
          <w:sz w:val="21"/>
          <w:szCs w:val="21"/>
        </w:rPr>
        <w:t>（</w:t>
      </w:r>
      <w:r>
        <w:rPr>
          <w:rFonts w:hint="eastAsia"/>
          <w:color w:val="000000"/>
          <w:sz w:val="21"/>
          <w:szCs w:val="21"/>
          <w:lang w:val="en-US" w:eastAsia="zh-CN"/>
        </w:rPr>
        <w:t>5</w:t>
      </w:r>
      <w:r>
        <w:rPr>
          <w:rFonts w:hint="eastAsia"/>
          <w:color w:val="000000"/>
          <w:sz w:val="21"/>
          <w:szCs w:val="21"/>
        </w:rPr>
        <w:t>）</w:t>
      </w:r>
      <w:bookmarkStart w:id="16" w:name="_Toc32303"/>
      <w:r>
        <w:rPr>
          <w:rFonts w:hint="eastAsia"/>
          <w:color w:val="000000"/>
          <w:sz w:val="21"/>
          <w:szCs w:val="21"/>
          <w:lang w:val="en-US" w:eastAsia="zh-CN"/>
        </w:rPr>
        <w:t>有序充电设备技术要求</w:t>
      </w:r>
      <w:bookmarkEnd w:id="16"/>
    </w:p>
    <w:p w14:paraId="16EDEC43">
      <w:pPr>
        <w:pStyle w:val="34"/>
        <w:spacing w:before="120" w:after="120" w:line="276" w:lineRule="auto"/>
        <w:ind w:firstLine="420"/>
        <w:rPr>
          <w:rFonts w:hint="default" w:ascii="宋体" w:hAnsi="宋体" w:eastAsia="宋体" w:cs="Times New Roman"/>
          <w:sz w:val="21"/>
          <w:szCs w:val="21"/>
          <w:lang w:val="en-US" w:eastAsia="zh-CN" w:bidi="ar-SA"/>
        </w:rPr>
      </w:pPr>
      <w:r>
        <w:rPr>
          <w:rFonts w:hint="eastAsia"/>
          <w:color w:val="000000"/>
          <w:sz w:val="21"/>
          <w:szCs w:val="21"/>
        </w:rPr>
        <w:t>本章主要是对</w:t>
      </w:r>
      <w:r>
        <w:rPr>
          <w:rFonts w:hint="eastAsia"/>
          <w:color w:val="000000"/>
          <w:sz w:val="21"/>
          <w:szCs w:val="21"/>
          <w:lang w:eastAsia="zh-CN"/>
        </w:rPr>
        <w:t>有序充电</w:t>
      </w:r>
      <w:r>
        <w:rPr>
          <w:rFonts w:hint="eastAsia"/>
          <w:color w:val="000000"/>
          <w:sz w:val="21"/>
          <w:szCs w:val="21"/>
          <w:lang w:val="en-US" w:eastAsia="zh-CN"/>
        </w:rPr>
        <w:t>设备技术要求进行规定，包括功能调节、启停控制等8个要求。</w:t>
      </w:r>
      <w:r>
        <w:rPr>
          <w:rFonts w:hint="eastAsia"/>
          <w:color w:val="000000"/>
          <w:sz w:val="21"/>
          <w:szCs w:val="21"/>
          <w:lang w:eastAsia="zh-CN"/>
        </w:rPr>
        <w:t>这部分的技术指标，均经过了业内专家研讨达成一致。</w:t>
      </w:r>
    </w:p>
    <w:p w14:paraId="07BE879D">
      <w:pPr>
        <w:pStyle w:val="34"/>
        <w:spacing w:before="120" w:after="120" w:line="276" w:lineRule="auto"/>
        <w:ind w:firstLine="420"/>
        <w:rPr>
          <w:rFonts w:hint="default"/>
          <w:color w:val="000000"/>
          <w:sz w:val="21"/>
          <w:szCs w:val="21"/>
          <w:lang w:val="en-US"/>
        </w:rPr>
      </w:pPr>
      <w:r>
        <w:rPr>
          <w:rFonts w:hint="eastAsia"/>
          <w:color w:val="000000"/>
          <w:sz w:val="21"/>
          <w:szCs w:val="21"/>
        </w:rPr>
        <w:t>（</w:t>
      </w:r>
      <w:r>
        <w:rPr>
          <w:rFonts w:hint="eastAsia"/>
          <w:color w:val="000000"/>
          <w:sz w:val="21"/>
          <w:szCs w:val="21"/>
          <w:lang w:val="en-US" w:eastAsia="zh-CN"/>
        </w:rPr>
        <w:t>6</w:t>
      </w:r>
      <w:r>
        <w:rPr>
          <w:rFonts w:hint="eastAsia"/>
          <w:color w:val="000000"/>
          <w:sz w:val="21"/>
          <w:szCs w:val="21"/>
        </w:rPr>
        <w:t>）</w:t>
      </w:r>
      <w:r>
        <w:rPr>
          <w:rFonts w:hint="eastAsia"/>
          <w:color w:val="000000"/>
          <w:sz w:val="21"/>
          <w:szCs w:val="21"/>
          <w:lang w:val="en-US" w:eastAsia="zh-CN"/>
        </w:rPr>
        <w:t xml:space="preserve">有序充电管理终端技术要求 </w:t>
      </w:r>
    </w:p>
    <w:p w14:paraId="169485D3">
      <w:pPr>
        <w:pStyle w:val="34"/>
        <w:spacing w:before="120" w:after="120" w:line="276" w:lineRule="auto"/>
        <w:ind w:firstLine="420"/>
        <w:rPr>
          <w:rFonts w:hint="eastAsia"/>
          <w:color w:val="000000"/>
          <w:sz w:val="21"/>
          <w:szCs w:val="21"/>
          <w:lang w:val="en-US" w:eastAsia="zh-CN"/>
        </w:rPr>
      </w:pPr>
      <w:r>
        <w:rPr>
          <w:rFonts w:hint="eastAsia"/>
          <w:color w:val="000000"/>
          <w:sz w:val="21"/>
          <w:szCs w:val="21"/>
        </w:rPr>
        <w:t>本章主要是对</w:t>
      </w:r>
      <w:r>
        <w:rPr>
          <w:rFonts w:hint="eastAsia"/>
          <w:color w:val="000000"/>
          <w:sz w:val="21"/>
          <w:szCs w:val="21"/>
          <w:lang w:eastAsia="zh-CN"/>
        </w:rPr>
        <w:t>有序充电</w:t>
      </w:r>
      <w:r>
        <w:rPr>
          <w:rFonts w:hint="eastAsia"/>
          <w:color w:val="000000"/>
          <w:sz w:val="21"/>
          <w:szCs w:val="21"/>
          <w:lang w:val="en-US" w:eastAsia="zh-CN"/>
        </w:rPr>
        <w:t>管理终端技术要求进行规定，包括台区负荷测量、台区剩余容量预测等7</w:t>
      </w:r>
      <w:r>
        <w:rPr>
          <w:rFonts w:hint="eastAsia"/>
          <w:color w:val="000000"/>
          <w:sz w:val="21"/>
          <w:szCs w:val="21"/>
          <w:lang w:val="en-US" w:eastAsia="zh-CN"/>
        </w:rPr>
        <w:tab/>
      </w:r>
      <w:r>
        <w:rPr>
          <w:rFonts w:hint="eastAsia"/>
          <w:color w:val="000000"/>
          <w:sz w:val="21"/>
          <w:szCs w:val="21"/>
          <w:lang w:val="en-US" w:eastAsia="zh-CN"/>
        </w:rPr>
        <w:t>个要求。其中，有序充电策略生成方面，有序充电管理终端仅面向本低压台区基于边缘计算生成，与有序充电管理平台生成的有序充电策略目标不完全一致。有序充电管理平台可以生成全局最优的充电策略，有序充电管理终端生成本台区最优的有序充电策略。最优的目标可以是经济最优、功率曲线最优，根据具体应用场景，可以设置不同优化目标。</w:t>
      </w:r>
    </w:p>
    <w:p w14:paraId="45A4C11C">
      <w:pPr>
        <w:pStyle w:val="34"/>
        <w:spacing w:before="120" w:after="120" w:line="276" w:lineRule="auto"/>
        <w:ind w:firstLine="420"/>
        <w:rPr>
          <w:color w:val="000000"/>
          <w:sz w:val="21"/>
          <w:szCs w:val="21"/>
        </w:rPr>
      </w:pPr>
      <w:r>
        <w:rPr>
          <w:rFonts w:hint="eastAsia"/>
          <w:color w:val="000000"/>
          <w:sz w:val="21"/>
          <w:szCs w:val="21"/>
        </w:rPr>
        <w:t>（</w:t>
      </w:r>
      <w:r>
        <w:rPr>
          <w:rFonts w:hint="eastAsia"/>
          <w:color w:val="000000"/>
          <w:sz w:val="21"/>
          <w:szCs w:val="21"/>
          <w:lang w:val="en-US" w:eastAsia="zh-CN"/>
        </w:rPr>
        <w:t>7</w:t>
      </w:r>
      <w:r>
        <w:rPr>
          <w:rFonts w:hint="eastAsia"/>
          <w:color w:val="000000"/>
          <w:sz w:val="21"/>
          <w:szCs w:val="21"/>
        </w:rPr>
        <w:t>）</w:t>
      </w:r>
      <w:r>
        <w:rPr>
          <w:rFonts w:hint="eastAsia"/>
          <w:color w:val="000000"/>
          <w:sz w:val="21"/>
          <w:szCs w:val="21"/>
          <w:lang w:val="en-US" w:eastAsia="zh-CN"/>
        </w:rPr>
        <w:t>充电运营管理平台技术要求</w:t>
      </w:r>
    </w:p>
    <w:p w14:paraId="346559E6">
      <w:pPr>
        <w:pStyle w:val="34"/>
        <w:spacing w:before="120" w:after="120" w:line="276" w:lineRule="auto"/>
        <w:ind w:firstLine="420"/>
        <w:rPr>
          <w:rFonts w:hint="eastAsia"/>
          <w:color w:val="000000"/>
          <w:sz w:val="21"/>
          <w:szCs w:val="21"/>
          <w:lang w:val="en-US" w:eastAsia="zh-CN"/>
        </w:rPr>
      </w:pPr>
      <w:r>
        <w:rPr>
          <w:rFonts w:hint="eastAsia"/>
          <w:color w:val="000000"/>
          <w:sz w:val="21"/>
          <w:szCs w:val="21"/>
        </w:rPr>
        <w:t>本章主要是对</w:t>
      </w:r>
      <w:r>
        <w:rPr>
          <w:rFonts w:hint="eastAsia"/>
          <w:color w:val="000000"/>
          <w:sz w:val="21"/>
          <w:szCs w:val="21"/>
          <w:lang w:val="en-US" w:eastAsia="zh-CN"/>
        </w:rPr>
        <w:t>充电运营管理平台技术要求进行规定，包括计费管理、用户账户管理等5个要求。</w:t>
      </w:r>
    </w:p>
    <w:p w14:paraId="5FE64B6E">
      <w:pPr>
        <w:pStyle w:val="34"/>
        <w:spacing w:before="120" w:after="120" w:line="276" w:lineRule="auto"/>
        <w:ind w:firstLine="420"/>
        <w:rPr>
          <w:color w:val="000000"/>
          <w:sz w:val="21"/>
          <w:szCs w:val="21"/>
        </w:rPr>
      </w:pPr>
      <w:r>
        <w:rPr>
          <w:rFonts w:hint="eastAsia"/>
          <w:color w:val="000000"/>
          <w:sz w:val="21"/>
          <w:szCs w:val="21"/>
        </w:rPr>
        <w:t>（</w:t>
      </w:r>
      <w:r>
        <w:rPr>
          <w:rFonts w:hint="eastAsia"/>
          <w:color w:val="000000"/>
          <w:sz w:val="21"/>
          <w:szCs w:val="21"/>
          <w:lang w:val="en-US" w:eastAsia="zh-CN"/>
        </w:rPr>
        <w:t>8</w:t>
      </w:r>
      <w:r>
        <w:rPr>
          <w:rFonts w:hint="eastAsia"/>
          <w:color w:val="000000"/>
          <w:sz w:val="21"/>
          <w:szCs w:val="21"/>
        </w:rPr>
        <w:t>）</w:t>
      </w:r>
      <w:r>
        <w:rPr>
          <w:rFonts w:hint="eastAsia"/>
          <w:color w:val="000000"/>
          <w:sz w:val="21"/>
          <w:szCs w:val="21"/>
          <w:lang w:val="en-US" w:eastAsia="zh-CN"/>
        </w:rPr>
        <w:t>有序充电管理平台技术要求</w:t>
      </w:r>
    </w:p>
    <w:p w14:paraId="37A72751">
      <w:pPr>
        <w:pStyle w:val="34"/>
        <w:spacing w:before="120" w:after="120" w:line="276" w:lineRule="auto"/>
        <w:ind w:firstLine="420"/>
        <w:rPr>
          <w:rFonts w:hint="eastAsia"/>
          <w:color w:val="000000"/>
          <w:sz w:val="21"/>
          <w:szCs w:val="21"/>
          <w:lang w:val="en-US" w:eastAsia="zh-CN"/>
        </w:rPr>
      </w:pPr>
      <w:r>
        <w:rPr>
          <w:rFonts w:hint="eastAsia"/>
          <w:color w:val="000000"/>
          <w:sz w:val="21"/>
          <w:szCs w:val="21"/>
        </w:rPr>
        <w:t>本章主要是对</w:t>
      </w:r>
      <w:r>
        <w:rPr>
          <w:rFonts w:hint="eastAsia"/>
          <w:color w:val="000000"/>
          <w:sz w:val="21"/>
          <w:szCs w:val="21"/>
          <w:lang w:eastAsia="zh-CN"/>
        </w:rPr>
        <w:t>有序充电</w:t>
      </w:r>
      <w:r>
        <w:rPr>
          <w:rFonts w:hint="eastAsia"/>
          <w:color w:val="000000"/>
          <w:sz w:val="21"/>
          <w:szCs w:val="21"/>
          <w:lang w:val="en-US" w:eastAsia="zh-CN"/>
        </w:rPr>
        <w:t>管理平台技术要求进行规定，包括信息采集、监视告警等7</w:t>
      </w:r>
      <w:r>
        <w:rPr>
          <w:rFonts w:hint="eastAsia"/>
          <w:color w:val="000000"/>
          <w:sz w:val="21"/>
          <w:szCs w:val="21"/>
          <w:lang w:val="en-US" w:eastAsia="zh-CN"/>
        </w:rPr>
        <w:tab/>
      </w:r>
      <w:r>
        <w:rPr>
          <w:rFonts w:hint="eastAsia"/>
          <w:color w:val="000000"/>
          <w:sz w:val="21"/>
          <w:szCs w:val="21"/>
          <w:lang w:val="en-US" w:eastAsia="zh-CN"/>
        </w:rPr>
        <w:t>个要求。其中，有序充电策略生成方面，有序充电管理平台面向所有低压台区基于全局最优算法生成，有序充电管理终端面向台区生成有序充电策略，上述策略均是数学上的最优化。</w:t>
      </w:r>
    </w:p>
    <w:p w14:paraId="16DA6A37">
      <w:pPr>
        <w:pStyle w:val="34"/>
        <w:spacing w:before="120" w:after="120" w:line="276" w:lineRule="auto"/>
        <w:ind w:firstLine="420"/>
        <w:rPr>
          <w:color w:val="000000"/>
          <w:sz w:val="21"/>
          <w:szCs w:val="21"/>
        </w:rPr>
      </w:pPr>
      <w:r>
        <w:rPr>
          <w:rFonts w:hint="eastAsia"/>
          <w:color w:val="000000"/>
          <w:sz w:val="21"/>
          <w:szCs w:val="21"/>
        </w:rPr>
        <w:t>（9）</w:t>
      </w:r>
      <w:r>
        <w:rPr>
          <w:rFonts w:hint="eastAsia"/>
          <w:color w:val="000000"/>
          <w:sz w:val="21"/>
          <w:szCs w:val="21"/>
          <w:lang w:eastAsia="zh-CN"/>
        </w:rPr>
        <w:t>信息安全</w:t>
      </w:r>
    </w:p>
    <w:p w14:paraId="24EF3E1A">
      <w:pPr>
        <w:pStyle w:val="34"/>
        <w:spacing w:before="120" w:after="120" w:line="276" w:lineRule="auto"/>
        <w:ind w:firstLine="420"/>
        <w:rPr>
          <w:rFonts w:hint="eastAsia" w:ascii="宋体" w:hAnsi="宋体" w:eastAsia="宋体" w:cs="Times New Roman"/>
          <w:color w:val="000000"/>
          <w:sz w:val="21"/>
          <w:szCs w:val="21"/>
          <w:lang w:eastAsia="zh-CN"/>
        </w:rPr>
      </w:pPr>
      <w:r>
        <w:rPr>
          <w:rFonts w:hint="eastAsia" w:ascii="宋体" w:hAnsi="宋体" w:eastAsia="宋体" w:cs="Times New Roman"/>
          <w:color w:val="000000"/>
          <w:sz w:val="21"/>
          <w:szCs w:val="21"/>
        </w:rPr>
        <w:t>本章对有序充电系统各组成部分</w:t>
      </w:r>
      <w:r>
        <w:rPr>
          <w:rFonts w:hint="eastAsia" w:ascii="宋体" w:hAnsi="宋体" w:eastAsia="宋体" w:cs="Times New Roman"/>
          <w:color w:val="000000"/>
          <w:sz w:val="21"/>
          <w:szCs w:val="21"/>
          <w:lang w:eastAsia="zh-CN"/>
        </w:rPr>
        <w:t>通信及</w:t>
      </w:r>
      <w:r>
        <w:rPr>
          <w:rFonts w:hint="eastAsia" w:ascii="宋体" w:hAnsi="宋体" w:eastAsia="宋体" w:cs="Times New Roman"/>
          <w:color w:val="000000"/>
          <w:sz w:val="21"/>
          <w:szCs w:val="21"/>
        </w:rPr>
        <w:t>安全要求</w:t>
      </w:r>
      <w:r>
        <w:rPr>
          <w:rFonts w:hint="eastAsia" w:ascii="宋体" w:hAnsi="宋体" w:eastAsia="宋体" w:cs="Times New Roman"/>
          <w:color w:val="000000"/>
          <w:sz w:val="21"/>
          <w:szCs w:val="21"/>
          <w:lang w:eastAsia="zh-CN"/>
        </w:rPr>
        <w:t>做了</w:t>
      </w:r>
      <w:r>
        <w:rPr>
          <w:rFonts w:hint="eastAsia" w:ascii="宋体" w:hAnsi="宋体" w:eastAsia="宋体" w:cs="Times New Roman"/>
          <w:color w:val="000000"/>
          <w:sz w:val="21"/>
          <w:szCs w:val="21"/>
        </w:rPr>
        <w:t>相关规定</w:t>
      </w:r>
      <w:r>
        <w:rPr>
          <w:rFonts w:hint="eastAsia" w:ascii="宋体" w:hAnsi="宋体" w:eastAsia="宋体" w:cs="Times New Roman"/>
          <w:color w:val="000000"/>
          <w:sz w:val="21"/>
          <w:szCs w:val="21"/>
          <w:lang w:eastAsia="zh-CN"/>
        </w:rPr>
        <w:t>，保证系统运行安全以及用户信息不泄露。</w:t>
      </w:r>
    </w:p>
    <w:p w14:paraId="3CA0BB41">
      <w:pPr>
        <w:pStyle w:val="76"/>
        <w:spacing w:before="240" w:after="240"/>
        <w:rPr>
          <w:color w:val="000000"/>
        </w:rPr>
      </w:pPr>
      <w:bookmarkStart w:id="17" w:name="_Toc24671"/>
      <w:r>
        <w:rPr>
          <w:rFonts w:hint="eastAsia"/>
          <w:color w:val="000000"/>
        </w:rPr>
        <w:t>技术指标确定的依据</w:t>
      </w:r>
      <w:bookmarkEnd w:id="17"/>
    </w:p>
    <w:p w14:paraId="3E08FEEB">
      <w:pPr>
        <w:pStyle w:val="291"/>
        <w:ind w:firstLine="420"/>
        <w:rPr>
          <w:rFonts w:hint="default" w:cs="黑体"/>
          <w:sz w:val="21"/>
          <w:szCs w:val="21"/>
          <w:lang w:val="en-US" w:eastAsia="zh-CN"/>
        </w:rPr>
      </w:pPr>
      <w:r>
        <w:rPr>
          <w:rFonts w:hint="eastAsia"/>
          <w:color w:val="000000"/>
          <w:sz w:val="21"/>
          <w:szCs w:val="21"/>
          <w:lang w:val="en-US" w:eastAsia="zh-CN"/>
        </w:rPr>
        <w:t>本标准中有序充电设备、有序充电管理终端、有序充电管理平台、充电运营管理平台中技术指标主要参考《</w:t>
      </w:r>
      <w:r>
        <w:rPr>
          <w:rFonts w:hint="eastAsia"/>
          <w:color w:val="000000"/>
          <w:szCs w:val="21"/>
        </w:rPr>
        <w:t>GB/T 18487.1-2023 电动汽车传导充电系统第1部分：通用要求</w:t>
      </w:r>
      <w:r>
        <w:rPr>
          <w:rFonts w:hint="eastAsia"/>
          <w:color w:val="000000"/>
          <w:szCs w:val="21"/>
          <w:lang w:eastAsia="zh-CN"/>
        </w:rPr>
        <w:t>》、《</w:t>
      </w:r>
      <w:r>
        <w:rPr>
          <w:rFonts w:hint="eastAsia"/>
          <w:color w:val="000000"/>
          <w:szCs w:val="21"/>
        </w:rPr>
        <w:t>GB/T 27930 电动汽车非车载传动式充电机与电池管理系统之间的通信协议</w:t>
      </w:r>
      <w:r>
        <w:rPr>
          <w:rFonts w:hint="eastAsia"/>
          <w:color w:val="000000"/>
          <w:szCs w:val="21"/>
          <w:lang w:eastAsia="zh-CN"/>
        </w:rPr>
        <w:t>》《</w:t>
      </w:r>
      <w:r>
        <w:rPr>
          <w:rFonts w:hint="eastAsia"/>
          <w:color w:val="000000"/>
          <w:szCs w:val="21"/>
        </w:rPr>
        <w:t>NB/T 11305.2-2023 电动汽车充放电双向互动 第2部分：有序充电</w:t>
      </w:r>
      <w:r>
        <w:rPr>
          <w:rFonts w:hint="eastAsia"/>
          <w:color w:val="000000"/>
          <w:szCs w:val="21"/>
          <w:lang w:eastAsia="zh-CN"/>
        </w:rPr>
        <w:t>》、《</w:t>
      </w:r>
      <w:r>
        <w:rPr>
          <w:rFonts w:hint="eastAsia"/>
          <w:color w:val="000000"/>
          <w:szCs w:val="21"/>
        </w:rPr>
        <w:t>NB/T 33001 电动汽车非车载传导式充电机技术条件</w:t>
      </w:r>
      <w:r>
        <w:rPr>
          <w:rFonts w:hint="eastAsia"/>
          <w:color w:val="000000"/>
          <w:szCs w:val="21"/>
          <w:lang w:eastAsia="zh-CN"/>
        </w:rPr>
        <w:t>》、《</w:t>
      </w:r>
      <w:r>
        <w:rPr>
          <w:rFonts w:hint="eastAsia"/>
          <w:color w:val="000000"/>
          <w:szCs w:val="21"/>
        </w:rPr>
        <w:t>NB/T 33002 电动汽车交流充电桩技术条件</w:t>
      </w:r>
      <w:r>
        <w:rPr>
          <w:rFonts w:hint="eastAsia"/>
          <w:color w:val="000000"/>
          <w:szCs w:val="21"/>
          <w:lang w:eastAsia="zh-CN"/>
        </w:rPr>
        <w:t>》、《</w:t>
      </w:r>
      <w:r>
        <w:rPr>
          <w:rFonts w:hint="eastAsia"/>
          <w:color w:val="000000"/>
          <w:sz w:val="21"/>
          <w:szCs w:val="21"/>
          <w:lang w:val="en-US" w:eastAsia="zh-CN"/>
        </w:rPr>
        <w:t>JJG 596-2012 电子式交流电能表检定规程</w:t>
      </w:r>
      <w:r>
        <w:rPr>
          <w:rFonts w:hint="eastAsia"/>
          <w:color w:val="000000"/>
          <w:szCs w:val="21"/>
          <w:lang w:eastAsia="zh-CN"/>
        </w:rPr>
        <w:t>》、《</w:t>
      </w:r>
      <w:r>
        <w:rPr>
          <w:rFonts w:hint="eastAsia"/>
          <w:color w:val="000000"/>
          <w:sz w:val="21"/>
          <w:szCs w:val="21"/>
        </w:rPr>
        <w:t xml:space="preserve"> DL</w:t>
      </w:r>
      <w:r>
        <w:rPr>
          <w:rFonts w:hint="eastAsia"/>
          <w:color w:val="000000"/>
          <w:sz w:val="21"/>
          <w:szCs w:val="21"/>
          <w:lang w:val="en-US" w:eastAsia="zh-CN"/>
        </w:rPr>
        <w:t>/</w:t>
      </w:r>
      <w:r>
        <w:rPr>
          <w:rFonts w:hint="eastAsia"/>
          <w:color w:val="000000"/>
          <w:sz w:val="21"/>
          <w:szCs w:val="21"/>
        </w:rPr>
        <w:t>T 448</w:t>
      </w:r>
      <w:r>
        <w:rPr>
          <w:rFonts w:hint="eastAsia"/>
          <w:color w:val="000000"/>
          <w:sz w:val="21"/>
          <w:szCs w:val="21"/>
          <w:lang w:val="en-US" w:eastAsia="zh-CN"/>
        </w:rPr>
        <w:t>-2016电能计量装置技术管理规程</w:t>
      </w:r>
      <w:r>
        <w:rPr>
          <w:rFonts w:hint="eastAsia"/>
          <w:color w:val="000000"/>
          <w:szCs w:val="21"/>
          <w:lang w:eastAsia="zh-CN"/>
        </w:rPr>
        <w:t>》</w:t>
      </w:r>
      <w:r>
        <w:rPr>
          <w:rFonts w:hint="eastAsia"/>
          <w:color w:val="000000"/>
          <w:sz w:val="21"/>
          <w:szCs w:val="21"/>
          <w:lang w:val="en-US" w:eastAsia="zh-CN"/>
        </w:rPr>
        <w:t>。</w:t>
      </w:r>
    </w:p>
    <w:p w14:paraId="7A50303E">
      <w:pPr>
        <w:pStyle w:val="34"/>
        <w:spacing w:before="120" w:after="120" w:line="276" w:lineRule="auto"/>
        <w:ind w:firstLine="420"/>
        <w:rPr>
          <w:rFonts w:hint="eastAsia"/>
          <w:color w:val="000000"/>
          <w:sz w:val="21"/>
          <w:szCs w:val="21"/>
          <w:lang w:val="en-US" w:eastAsia="zh-CN"/>
        </w:rPr>
      </w:pPr>
      <w:r>
        <w:rPr>
          <w:rFonts w:hint="eastAsia"/>
          <w:color w:val="000000"/>
          <w:sz w:val="21"/>
          <w:szCs w:val="21"/>
          <w:lang w:val="en-US" w:eastAsia="zh-CN"/>
        </w:rPr>
        <w:t>5.3定时控制中“</w:t>
      </w:r>
      <w:r>
        <w:rPr>
          <w:rFonts w:hint="eastAsia"/>
          <w:color w:val="000000"/>
          <w:sz w:val="21"/>
          <w:szCs w:val="21"/>
        </w:rPr>
        <w:t>设备的日计时偏差应不大于0.5s/d</w:t>
      </w:r>
      <w:r>
        <w:rPr>
          <w:rFonts w:hint="eastAsia"/>
          <w:color w:val="000000"/>
          <w:sz w:val="21"/>
          <w:szCs w:val="21"/>
          <w:lang w:eastAsia="zh-CN"/>
        </w:rPr>
        <w:t>”</w:t>
      </w:r>
      <w:r>
        <w:rPr>
          <w:rFonts w:hint="eastAsia"/>
          <w:color w:val="000000"/>
          <w:sz w:val="21"/>
          <w:szCs w:val="21"/>
          <w:lang w:val="en-US" w:eastAsia="zh-CN"/>
        </w:rPr>
        <w:t>技术指标，参照JJG 596-2012第4.5节时钟日</w:t>
      </w:r>
      <w:r>
        <w:rPr>
          <w:rFonts w:hint="eastAsia"/>
          <w:color w:val="000000"/>
          <w:sz w:val="21"/>
          <w:szCs w:val="21"/>
        </w:rPr>
        <w:t>计</w:t>
      </w:r>
      <w:r>
        <w:rPr>
          <w:rFonts w:hint="eastAsia"/>
          <w:color w:val="000000"/>
          <w:sz w:val="21"/>
          <w:szCs w:val="21"/>
          <w:lang w:val="en-US" w:eastAsia="zh-CN"/>
        </w:rPr>
        <w:t>时误差，“有序充电设备的</w:t>
      </w:r>
      <w:r>
        <w:rPr>
          <w:rFonts w:hint="eastAsia"/>
          <w:color w:val="000000"/>
          <w:sz w:val="21"/>
          <w:szCs w:val="21"/>
        </w:rPr>
        <w:t>时钟偏差应不超过</w:t>
      </w:r>
      <w:r>
        <w:rPr>
          <w:rFonts w:hint="eastAsia"/>
          <w:color w:val="000000"/>
          <w:sz w:val="21"/>
          <w:szCs w:val="21"/>
          <w:lang w:val="en-US" w:eastAsia="zh-CN"/>
        </w:rPr>
        <w:t>10</w:t>
      </w:r>
      <w:r>
        <w:rPr>
          <w:rFonts w:hint="eastAsia"/>
          <w:color w:val="000000"/>
          <w:sz w:val="21"/>
          <w:szCs w:val="21"/>
        </w:rPr>
        <w:t>min</w:t>
      </w:r>
      <w:r>
        <w:rPr>
          <w:rFonts w:hint="eastAsia"/>
          <w:color w:val="000000"/>
          <w:sz w:val="21"/>
          <w:szCs w:val="21"/>
          <w:lang w:val="en-US" w:eastAsia="zh-CN"/>
        </w:rPr>
        <w:t>”，参照</w:t>
      </w:r>
      <w:r>
        <w:rPr>
          <w:rFonts w:hint="eastAsia"/>
          <w:color w:val="000000"/>
          <w:sz w:val="21"/>
          <w:szCs w:val="21"/>
        </w:rPr>
        <w:t xml:space="preserve"> DL</w:t>
      </w:r>
      <w:r>
        <w:rPr>
          <w:rFonts w:hint="eastAsia"/>
          <w:color w:val="000000"/>
          <w:sz w:val="21"/>
          <w:szCs w:val="21"/>
          <w:lang w:val="en-US" w:eastAsia="zh-CN"/>
        </w:rPr>
        <w:t>/</w:t>
      </w:r>
      <w:r>
        <w:rPr>
          <w:rFonts w:hint="eastAsia"/>
          <w:color w:val="000000"/>
          <w:sz w:val="21"/>
          <w:szCs w:val="21"/>
        </w:rPr>
        <w:t>T 448</w:t>
      </w:r>
      <w:r>
        <w:rPr>
          <w:rFonts w:hint="eastAsia"/>
          <w:color w:val="000000"/>
          <w:sz w:val="21"/>
          <w:szCs w:val="21"/>
          <w:lang w:val="en-US" w:eastAsia="zh-CN"/>
        </w:rPr>
        <w:t>-2016第8.2</w:t>
      </w:r>
      <w:r>
        <w:rPr>
          <w:rFonts w:hint="eastAsia"/>
          <w:color w:val="000000"/>
          <w:sz w:val="21"/>
          <w:szCs w:val="21"/>
        </w:rPr>
        <w:t>条</w:t>
      </w:r>
      <w:r>
        <w:rPr>
          <w:rFonts w:hint="eastAsia"/>
          <w:color w:val="000000"/>
          <w:sz w:val="21"/>
          <w:szCs w:val="21"/>
          <w:lang w:val="en-US" w:eastAsia="zh-CN"/>
        </w:rPr>
        <w:t>运行维护；5.6数据上报中“</w:t>
      </w:r>
      <w:r>
        <w:rPr>
          <w:rFonts w:hint="eastAsia"/>
          <w:color w:val="000000"/>
          <w:sz w:val="21"/>
          <w:szCs w:val="21"/>
        </w:rPr>
        <w:t>上报时间间隔不大于15min</w:t>
      </w:r>
      <w:r>
        <w:rPr>
          <w:rFonts w:hint="eastAsia"/>
          <w:color w:val="000000"/>
          <w:sz w:val="21"/>
          <w:szCs w:val="21"/>
          <w:lang w:val="en-US" w:eastAsia="zh-CN"/>
        </w:rPr>
        <w:t>”、</w:t>
      </w:r>
      <w:r>
        <w:rPr>
          <w:rFonts w:hint="eastAsia"/>
          <w:color w:val="000000"/>
          <w:sz w:val="21"/>
          <w:szCs w:val="21"/>
          <w:lang w:eastAsia="zh-CN"/>
        </w:rPr>
        <w:t>“</w:t>
      </w:r>
      <w:r>
        <w:rPr>
          <w:rFonts w:hint="eastAsia"/>
          <w:color w:val="000000"/>
          <w:sz w:val="21"/>
          <w:szCs w:val="21"/>
        </w:rPr>
        <w:t>上报延迟时间不大于1min</w:t>
      </w:r>
      <w:r>
        <w:rPr>
          <w:rFonts w:hint="eastAsia"/>
          <w:color w:val="000000"/>
          <w:sz w:val="21"/>
          <w:szCs w:val="21"/>
          <w:lang w:eastAsia="zh-CN"/>
        </w:rPr>
        <w:t>”</w:t>
      </w:r>
      <w:r>
        <w:rPr>
          <w:rFonts w:hint="eastAsia"/>
          <w:color w:val="000000"/>
          <w:sz w:val="21"/>
          <w:szCs w:val="21"/>
          <w:lang w:val="en-US" w:eastAsia="zh-CN"/>
        </w:rPr>
        <w:t>参照现有低压用电信息采集系统数据上报要求；8.7数据存储统计中“</w:t>
      </w:r>
      <w:r>
        <w:rPr>
          <w:rFonts w:hint="eastAsia" w:cs="Times New Roman"/>
          <w:color w:val="auto"/>
          <w:kern w:val="0"/>
          <w:sz w:val="21"/>
          <w:szCs w:val="21"/>
          <w:highlight w:val="none"/>
          <w:lang w:val="en-US" w:eastAsia="zh-CN" w:bidi="ar-SA"/>
        </w:rPr>
        <w:t>历史运行数据可追溯</w:t>
      </w:r>
      <w:r>
        <w:rPr>
          <w:rFonts w:hint="eastAsia"/>
          <w:color w:val="auto"/>
          <w:sz w:val="21"/>
          <w:szCs w:val="21"/>
          <w:highlight w:val="none"/>
          <w:lang w:val="en-US" w:eastAsia="zh-CN"/>
        </w:rPr>
        <w:t>至少一个月</w:t>
      </w:r>
      <w:r>
        <w:rPr>
          <w:rFonts w:hint="eastAsia"/>
          <w:color w:val="000000"/>
          <w:sz w:val="21"/>
          <w:szCs w:val="21"/>
          <w:lang w:val="en-US" w:eastAsia="zh-CN"/>
        </w:rPr>
        <w:t>”参照主流充电运营商管理平台的历史数据时限要求。</w:t>
      </w:r>
    </w:p>
    <w:p w14:paraId="3EC0A34E">
      <w:pPr>
        <w:pStyle w:val="76"/>
        <w:spacing w:before="240" w:after="240"/>
        <w:rPr>
          <w:color w:val="000000"/>
        </w:rPr>
      </w:pPr>
      <w:bookmarkStart w:id="18" w:name="_Toc7227"/>
      <w:r>
        <w:rPr>
          <w:rFonts w:hint="eastAsia"/>
          <w:color w:val="000000"/>
        </w:rPr>
        <w:t>重大分歧意见的处理过程和依据</w:t>
      </w:r>
      <w:bookmarkEnd w:id="18"/>
    </w:p>
    <w:p w14:paraId="1DBB0FF3">
      <w:pPr>
        <w:pStyle w:val="34"/>
        <w:spacing w:before="120" w:after="120" w:line="276" w:lineRule="auto"/>
        <w:ind w:firstLine="420"/>
        <w:rPr>
          <w:rFonts w:hint="default" w:eastAsia="宋体"/>
          <w:color w:val="000000"/>
          <w:sz w:val="21"/>
          <w:szCs w:val="21"/>
          <w:lang w:val="en-US" w:eastAsia="zh-CN"/>
        </w:rPr>
      </w:pPr>
      <w:r>
        <w:rPr>
          <w:rFonts w:hint="eastAsia"/>
          <w:color w:val="000000"/>
          <w:sz w:val="21"/>
          <w:szCs w:val="21"/>
        </w:rPr>
        <w:t>本标准在编写过程中，对适用范围存在分歧，</w:t>
      </w:r>
      <w:r>
        <w:rPr>
          <w:rFonts w:hint="eastAsia"/>
          <w:color w:val="000000"/>
          <w:sz w:val="21"/>
          <w:szCs w:val="21"/>
          <w:lang w:eastAsia="zh-CN"/>
        </w:rPr>
        <w:t>编写组</w:t>
      </w:r>
      <w:r>
        <w:rPr>
          <w:rFonts w:hint="eastAsia"/>
          <w:color w:val="000000"/>
          <w:sz w:val="21"/>
          <w:szCs w:val="21"/>
        </w:rPr>
        <w:t>多次组织专家评审，</w:t>
      </w:r>
      <w:r>
        <w:rPr>
          <w:rFonts w:hint="eastAsia"/>
          <w:color w:val="000000"/>
          <w:sz w:val="21"/>
          <w:szCs w:val="21"/>
          <w:lang w:eastAsia="zh-CN"/>
        </w:rPr>
        <w:t>汇报本标准要解决的问题是</w:t>
      </w:r>
      <w:r>
        <w:rPr>
          <w:rFonts w:hint="eastAsia"/>
          <w:color w:val="000000"/>
          <w:sz w:val="21"/>
          <w:szCs w:val="21"/>
          <w:lang w:val="en-US" w:eastAsia="zh-CN"/>
        </w:rPr>
        <w:t>居民区下低压台区交流充电桩</w:t>
      </w:r>
      <w:r>
        <w:rPr>
          <w:rFonts w:hint="eastAsia"/>
          <w:color w:val="000000"/>
          <w:sz w:val="21"/>
          <w:szCs w:val="21"/>
          <w:lang w:eastAsia="zh-CN"/>
        </w:rPr>
        <w:t>有序充电，</w:t>
      </w:r>
      <w:r>
        <w:rPr>
          <w:rFonts w:hint="eastAsia"/>
          <w:color w:val="000000"/>
          <w:sz w:val="21"/>
          <w:szCs w:val="21"/>
        </w:rPr>
        <w:t>专家一致建议将适用范围界定为</w:t>
      </w:r>
      <w:r>
        <w:rPr>
          <w:rFonts w:hint="eastAsia"/>
          <w:color w:val="000000"/>
          <w:sz w:val="21"/>
          <w:szCs w:val="21"/>
          <w:lang w:eastAsia="zh-CN"/>
        </w:rPr>
        <w:t>在</w:t>
      </w:r>
      <w:r>
        <w:rPr>
          <w:rFonts w:hint="eastAsia"/>
          <w:sz w:val="21"/>
          <w:szCs w:val="21"/>
          <w:lang w:val="en-US" w:eastAsia="zh-CN"/>
        </w:rPr>
        <w:t>220V</w:t>
      </w:r>
      <w:r>
        <w:rPr>
          <w:rFonts w:hint="default"/>
          <w:sz w:val="21"/>
          <w:szCs w:val="21"/>
          <w:lang w:val="en-US" w:eastAsia="zh-CN"/>
        </w:rPr>
        <w:t>/</w:t>
      </w:r>
      <w:r>
        <w:rPr>
          <w:rFonts w:hint="eastAsia"/>
          <w:sz w:val="21"/>
          <w:szCs w:val="21"/>
          <w:lang w:val="en-US" w:eastAsia="zh-CN"/>
        </w:rPr>
        <w:t>380V电压等级的低压台区</w:t>
      </w:r>
      <w:r>
        <w:rPr>
          <w:rFonts w:hint="eastAsia"/>
          <w:sz w:val="21"/>
          <w:szCs w:val="21"/>
          <w:lang w:eastAsia="zh-CN"/>
        </w:rPr>
        <w:t>电动汽车</w:t>
      </w:r>
      <w:r>
        <w:rPr>
          <w:rFonts w:hint="eastAsia"/>
          <w:sz w:val="21"/>
          <w:szCs w:val="21"/>
          <w:lang w:val="en-US" w:eastAsia="zh-CN"/>
        </w:rPr>
        <w:t>有序</w:t>
      </w:r>
      <w:r>
        <w:rPr>
          <w:rFonts w:hint="eastAsia"/>
          <w:sz w:val="21"/>
          <w:szCs w:val="21"/>
          <w:lang w:eastAsia="zh-CN"/>
        </w:rPr>
        <w:t>充电</w:t>
      </w:r>
      <w:r>
        <w:rPr>
          <w:rFonts w:hint="eastAsia"/>
          <w:sz w:val="21"/>
          <w:szCs w:val="21"/>
          <w:lang w:val="en-US" w:eastAsia="zh-CN"/>
        </w:rPr>
        <w:t>系统</w:t>
      </w:r>
      <w:r>
        <w:rPr>
          <w:rFonts w:hint="eastAsia"/>
          <w:color w:val="000000"/>
          <w:sz w:val="21"/>
          <w:szCs w:val="21"/>
        </w:rPr>
        <w:t>，使标准</w:t>
      </w:r>
      <w:r>
        <w:rPr>
          <w:rFonts w:hint="eastAsia"/>
          <w:color w:val="000000"/>
          <w:sz w:val="21"/>
          <w:szCs w:val="21"/>
          <w:lang w:val="en-US" w:eastAsia="zh-CN"/>
        </w:rPr>
        <w:t>扩大适用范围，兼容多种有序充电技术实现方案。</w:t>
      </w:r>
    </w:p>
    <w:p w14:paraId="1D2AE397">
      <w:pPr>
        <w:pStyle w:val="76"/>
        <w:numPr>
          <w:ilvl w:val="0"/>
          <w:numId w:val="22"/>
        </w:numPr>
        <w:spacing w:before="240" w:after="240"/>
        <w:rPr>
          <w:color w:val="000000"/>
        </w:rPr>
      </w:pPr>
      <w:bookmarkStart w:id="19" w:name="_Toc11090"/>
      <w:r>
        <w:rPr>
          <w:rFonts w:hint="eastAsia"/>
          <w:szCs w:val="21"/>
        </w:rPr>
        <w:t>与相关</w:t>
      </w:r>
      <w:r>
        <w:rPr>
          <w:szCs w:val="21"/>
        </w:rPr>
        <w:t>法律法规</w:t>
      </w:r>
      <w:r>
        <w:rPr>
          <w:rFonts w:hint="eastAsia"/>
          <w:szCs w:val="21"/>
        </w:rPr>
        <w:t>和标准的关系</w:t>
      </w:r>
      <w:bookmarkEnd w:id="19"/>
    </w:p>
    <w:p w14:paraId="6FEF5F2F">
      <w:pPr>
        <w:pStyle w:val="34"/>
        <w:spacing w:before="120" w:after="120" w:line="276" w:lineRule="auto"/>
        <w:ind w:firstLine="420"/>
        <w:rPr>
          <w:rFonts w:hint="default" w:eastAsia="宋体"/>
          <w:color w:val="000000"/>
          <w:sz w:val="21"/>
          <w:szCs w:val="21"/>
          <w:highlight w:val="none"/>
          <w:lang w:val="en-US" w:eastAsia="zh-CN"/>
        </w:rPr>
      </w:pPr>
      <w:bookmarkStart w:id="20" w:name="_Toc339983339"/>
      <w:bookmarkStart w:id="21" w:name="_Toc341174419"/>
      <w:bookmarkStart w:id="22" w:name="_Toc217894510"/>
      <w:bookmarkStart w:id="23" w:name="_Toc341173331"/>
      <w:bookmarkStart w:id="24" w:name="_Toc341173695"/>
      <w:bookmarkStart w:id="25" w:name="_Toc341174522"/>
      <w:bookmarkStart w:id="26" w:name="_Toc339983443"/>
      <w:r>
        <w:rPr>
          <w:color w:val="000000"/>
          <w:sz w:val="21"/>
          <w:szCs w:val="21"/>
        </w:rPr>
        <w:t>本标准与相关技术领域的国家现行法律法规和</w:t>
      </w:r>
      <w:r>
        <w:rPr>
          <w:rFonts w:hint="eastAsia"/>
          <w:color w:val="000000"/>
          <w:sz w:val="21"/>
          <w:szCs w:val="21"/>
        </w:rPr>
        <w:t>标准</w:t>
      </w:r>
      <w:r>
        <w:rPr>
          <w:color w:val="000000"/>
          <w:sz w:val="21"/>
          <w:szCs w:val="21"/>
        </w:rPr>
        <w:t>保持一致</w:t>
      </w:r>
      <w:r>
        <w:rPr>
          <w:rFonts w:hint="eastAsia"/>
          <w:color w:val="000000"/>
          <w:sz w:val="21"/>
          <w:szCs w:val="21"/>
          <w:lang w:eastAsia="zh-CN"/>
        </w:rPr>
        <w:t>。</w:t>
      </w:r>
      <w:r>
        <w:rPr>
          <w:rFonts w:hint="eastAsia"/>
          <w:color w:val="000000"/>
          <w:sz w:val="21"/>
          <w:szCs w:val="21"/>
          <w:lang w:val="en-US" w:eastAsia="zh-CN"/>
        </w:rPr>
        <w:t>本标准主要引用了行业标准《</w:t>
      </w:r>
      <w:r>
        <w:rPr>
          <w:rFonts w:hint="eastAsia" w:cs="黑体"/>
          <w:sz w:val="21"/>
          <w:szCs w:val="21"/>
          <w:lang w:val="en-US" w:eastAsia="zh-CN"/>
        </w:rPr>
        <w:t>NB/T 11305.2—2023 电动汽车充放电双向互动 第2部分：有序充电</w:t>
      </w:r>
      <w:r>
        <w:rPr>
          <w:rFonts w:hint="eastAsia"/>
          <w:color w:val="000000"/>
          <w:sz w:val="21"/>
          <w:szCs w:val="21"/>
          <w:lang w:val="en-US" w:eastAsia="zh-CN"/>
        </w:rPr>
        <w:t>》，在其基础上进一步阐述了多种场景下低压台区有序充</w:t>
      </w:r>
      <w:r>
        <w:rPr>
          <w:rFonts w:hint="eastAsia"/>
          <w:color w:val="000000"/>
          <w:sz w:val="21"/>
          <w:szCs w:val="21"/>
          <w:highlight w:val="none"/>
          <w:lang w:val="en-US" w:eastAsia="zh-CN"/>
        </w:rPr>
        <w:t>电系统架构，细致描述了</w:t>
      </w:r>
      <w:r>
        <w:rPr>
          <w:rFonts w:hint="eastAsia" w:cs="Times New Roman"/>
          <w:sz w:val="21"/>
          <w:szCs w:val="21"/>
          <w:highlight w:val="none"/>
          <w:lang w:val="en-US" w:eastAsia="zh-CN" w:bidi="ar-SA"/>
        </w:rPr>
        <w:t>有序充电管理平台、有序充电管理终端、有序充电设备等各个</w:t>
      </w:r>
      <w:r>
        <w:rPr>
          <w:rFonts w:hint="eastAsia"/>
          <w:color w:val="000000"/>
          <w:sz w:val="21"/>
          <w:szCs w:val="21"/>
          <w:highlight w:val="none"/>
          <w:lang w:val="en-US" w:eastAsia="zh-CN"/>
        </w:rPr>
        <w:t>组成部分的详细技术要求。</w:t>
      </w:r>
    </w:p>
    <w:bookmarkEnd w:id="20"/>
    <w:bookmarkEnd w:id="21"/>
    <w:bookmarkEnd w:id="22"/>
    <w:bookmarkEnd w:id="23"/>
    <w:bookmarkEnd w:id="24"/>
    <w:bookmarkEnd w:id="25"/>
    <w:bookmarkEnd w:id="26"/>
    <w:p w14:paraId="6B541D2C">
      <w:pPr>
        <w:pStyle w:val="76"/>
        <w:numPr>
          <w:ilvl w:val="0"/>
          <w:numId w:val="22"/>
        </w:numPr>
        <w:spacing w:before="240" w:after="240"/>
        <w:rPr>
          <w:szCs w:val="21"/>
        </w:rPr>
      </w:pPr>
      <w:bookmarkStart w:id="27" w:name="_Toc15417"/>
      <w:bookmarkStart w:id="28" w:name="_Toc338340182"/>
      <w:bookmarkStart w:id="29" w:name="_Toc495476949"/>
      <w:bookmarkStart w:id="30" w:name="_Toc10462822"/>
      <w:bookmarkStart w:id="31" w:name="_Toc497087669"/>
      <w:r>
        <w:rPr>
          <w:rFonts w:hint="eastAsia"/>
          <w:szCs w:val="21"/>
        </w:rPr>
        <w:t>推广</w:t>
      </w:r>
      <w:r>
        <w:rPr>
          <w:szCs w:val="21"/>
        </w:rPr>
        <w:t>实施</w:t>
      </w:r>
      <w:r>
        <w:rPr>
          <w:rFonts w:hint="eastAsia"/>
          <w:szCs w:val="21"/>
        </w:rPr>
        <w:t>建议</w:t>
      </w:r>
      <w:bookmarkEnd w:id="27"/>
    </w:p>
    <w:p w14:paraId="15EA3885">
      <w:pPr>
        <w:pStyle w:val="34"/>
        <w:spacing w:before="120" w:after="120" w:line="276" w:lineRule="auto"/>
        <w:ind w:firstLine="420"/>
        <w:rPr>
          <w:color w:val="000000"/>
          <w:sz w:val="21"/>
          <w:szCs w:val="21"/>
        </w:rPr>
      </w:pPr>
      <w:r>
        <w:rPr>
          <w:rFonts w:hint="eastAsia"/>
          <w:color w:val="000000"/>
          <w:sz w:val="21"/>
          <w:szCs w:val="21"/>
        </w:rPr>
        <w:t>本标准</w:t>
      </w:r>
      <w:r>
        <w:rPr>
          <w:color w:val="000000"/>
          <w:sz w:val="21"/>
          <w:szCs w:val="21"/>
        </w:rPr>
        <w:t>由</w:t>
      </w:r>
      <w:r>
        <w:rPr>
          <w:rFonts w:hint="eastAsia"/>
          <w:sz w:val="21"/>
          <w:szCs w:val="21"/>
          <w:lang w:val="en-US" w:eastAsia="zh-CN"/>
        </w:rPr>
        <w:t>江苏省发展和改革委员会</w:t>
      </w:r>
      <w:r>
        <w:rPr>
          <w:rFonts w:hint="eastAsia"/>
          <w:sz w:val="21"/>
          <w:szCs w:val="21"/>
        </w:rPr>
        <w:t>提出</w:t>
      </w:r>
      <w:r>
        <w:rPr>
          <w:rFonts w:hint="eastAsia"/>
          <w:sz w:val="21"/>
          <w:szCs w:val="21"/>
          <w:lang w:val="en-US" w:eastAsia="zh-CN"/>
        </w:rPr>
        <w:t>并组织实施，由江苏省电力标准化技术委员会归口，</w:t>
      </w:r>
      <w:r>
        <w:rPr>
          <w:rFonts w:hint="eastAsia"/>
          <w:color w:val="000000"/>
          <w:sz w:val="21"/>
          <w:szCs w:val="21"/>
          <w:lang w:val="en-US" w:eastAsia="zh-CN"/>
        </w:rPr>
        <w:t>建议</w:t>
      </w:r>
      <w:r>
        <w:rPr>
          <w:color w:val="000000"/>
          <w:sz w:val="21"/>
          <w:szCs w:val="21"/>
        </w:rPr>
        <w:t>联合起草单位对标准文件适用范围相关主体进行标准解读，对标准文件适用场景进行宣贯并推广应用。</w:t>
      </w:r>
    </w:p>
    <w:p w14:paraId="136F7F2D">
      <w:pPr>
        <w:pStyle w:val="76"/>
        <w:spacing w:before="240" w:after="240"/>
        <w:rPr>
          <w:rFonts w:hAnsi="宋体"/>
          <w:color w:val="000000"/>
          <w:szCs w:val="21"/>
        </w:rPr>
      </w:pPr>
      <w:bookmarkStart w:id="32" w:name="_Toc31853"/>
      <w:r>
        <w:rPr>
          <w:rFonts w:hint="eastAsia" w:hAnsi="宋体"/>
          <w:color w:val="000000"/>
          <w:szCs w:val="21"/>
        </w:rPr>
        <w:t>起草单位和起草人员信息及分工</w:t>
      </w:r>
      <w:bookmarkEnd w:id="32"/>
    </w:p>
    <w:p w14:paraId="73BD98DE">
      <w:pPr>
        <w:pStyle w:val="34"/>
        <w:spacing w:before="120" w:after="120" w:line="276" w:lineRule="auto"/>
        <w:ind w:firstLine="420"/>
        <w:rPr>
          <w:rFonts w:hint="eastAsia"/>
          <w:color w:val="000000"/>
          <w:sz w:val="21"/>
          <w:szCs w:val="21"/>
          <w:lang w:eastAsia="zh-CN"/>
        </w:rPr>
      </w:pPr>
      <w:r>
        <w:rPr>
          <w:rFonts w:hint="eastAsia"/>
          <w:color w:val="000000"/>
          <w:sz w:val="21"/>
          <w:szCs w:val="21"/>
        </w:rPr>
        <w:t>本标准起草单位包括</w:t>
      </w:r>
      <w:r>
        <w:rPr>
          <w:rFonts w:hint="eastAsia" w:asciiTheme="minorEastAsia" w:hAnsiTheme="minorEastAsia" w:eastAsiaTheme="minorEastAsia" w:cstheme="minorEastAsia"/>
          <w:sz w:val="21"/>
          <w:szCs w:val="21"/>
          <w:highlight w:val="none"/>
        </w:rPr>
        <w:t>国网江苏省电力有限公司营销服务中心、国网江苏省电力有限公司、国网电力科学研究院有限公司、</w:t>
      </w:r>
      <w:r>
        <w:rPr>
          <w:rFonts w:hint="eastAsia" w:asciiTheme="minorEastAsia" w:hAnsiTheme="minorEastAsia" w:eastAsiaTheme="minorEastAsia" w:cstheme="minorEastAsia"/>
          <w:sz w:val="21"/>
          <w:szCs w:val="21"/>
          <w:highlight w:val="none"/>
          <w:lang w:val="en-US" w:eastAsia="zh-CN"/>
        </w:rPr>
        <w:t>国电南瑞科技股份</w:t>
      </w:r>
      <w:r>
        <w:rPr>
          <w:rFonts w:hint="eastAsia" w:asciiTheme="minorEastAsia" w:hAnsiTheme="minorEastAsia" w:eastAsiaTheme="minorEastAsia" w:cstheme="minorEastAsia"/>
          <w:sz w:val="21"/>
          <w:szCs w:val="21"/>
          <w:highlight w:val="none"/>
        </w:rPr>
        <w:t>有限公司、苏州市产品质量检验院有限公司、国网江苏省电力有限公司电力科学研究院、国网江苏电动汽车服务有限公司、万帮数字能源股份有限公司</w:t>
      </w:r>
      <w:r>
        <w:rPr>
          <w:rFonts w:hint="eastAsia"/>
          <w:color w:val="000000"/>
          <w:sz w:val="21"/>
          <w:szCs w:val="21"/>
        </w:rPr>
        <w:t>，</w:t>
      </w:r>
      <w:r>
        <w:rPr>
          <w:color w:val="000000"/>
          <w:sz w:val="21"/>
          <w:szCs w:val="21"/>
        </w:rPr>
        <w:t>主要起草人员有</w:t>
      </w:r>
      <w:r>
        <w:rPr>
          <w:rFonts w:hint="eastAsia"/>
          <w:sz w:val="21"/>
          <w:szCs w:val="21"/>
        </w:rPr>
        <w:t>程含渺、段梅梅、阮文骏、焦系泽、</w:t>
      </w:r>
      <w:r>
        <w:rPr>
          <w:rFonts w:hint="eastAsia"/>
          <w:sz w:val="21"/>
          <w:szCs w:val="21"/>
          <w:lang w:val="en-US" w:eastAsia="zh-CN"/>
        </w:rPr>
        <w:t>王忠东、</w:t>
      </w:r>
      <w:r>
        <w:rPr>
          <w:rFonts w:hint="eastAsia"/>
          <w:sz w:val="21"/>
          <w:szCs w:val="21"/>
        </w:rPr>
        <w:t>周承翰、方凯杰、鲍进、桑林、陈良亮、陈家凯、陆文韬、李旭玲、窦胜、魏兵兵、王明深、严鹏、王峥、杨志</w:t>
      </w:r>
      <w:r>
        <w:rPr>
          <w:rFonts w:hint="eastAsia"/>
          <w:color w:val="000000"/>
          <w:sz w:val="21"/>
          <w:szCs w:val="21"/>
        </w:rPr>
        <w:t>。在标准编写过程中，各单位和编写人员分工明确，优势互补，共同完成标准编制。</w:t>
      </w:r>
      <w:bookmarkEnd w:id="28"/>
      <w:bookmarkEnd w:id="29"/>
      <w:bookmarkEnd w:id="30"/>
      <w:bookmarkEnd w:id="31"/>
      <w:r>
        <w:rPr>
          <w:rFonts w:hint="eastAsia"/>
          <w:color w:val="000000"/>
          <w:sz w:val="21"/>
          <w:szCs w:val="21"/>
          <w:lang w:eastAsia="zh-CN"/>
        </w:rPr>
        <w:t>具体如下表所示。</w:t>
      </w:r>
    </w:p>
    <w:p w14:paraId="0F725426">
      <w:pPr>
        <w:pStyle w:val="34"/>
        <w:spacing w:before="120" w:after="120" w:line="276" w:lineRule="auto"/>
        <w:ind w:firstLine="420"/>
        <w:rPr>
          <w:rFonts w:hint="eastAsia"/>
          <w:color w:val="000000"/>
          <w:sz w:val="21"/>
          <w:szCs w:val="21"/>
          <w:lang w:eastAsia="zh-CN"/>
        </w:rPr>
      </w:pPr>
    </w:p>
    <w:p w14:paraId="79811AB5">
      <w:pPr>
        <w:pStyle w:val="34"/>
        <w:spacing w:before="120" w:after="120" w:line="276" w:lineRule="auto"/>
        <w:ind w:firstLine="420"/>
        <w:rPr>
          <w:rFonts w:hint="eastAsia"/>
          <w:color w:val="000000"/>
          <w:sz w:val="21"/>
          <w:szCs w:val="21"/>
          <w:lang w:eastAsia="zh-CN"/>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3"/>
        <w:gridCol w:w="2608"/>
        <w:gridCol w:w="2375"/>
      </w:tblGrid>
      <w:tr w14:paraId="4E58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73" w:type="dxa"/>
            <w:vAlign w:val="center"/>
          </w:tcPr>
          <w:p w14:paraId="35D45C54">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vertAlign w:val="baseline"/>
                <w:lang w:eastAsia="zh-CN"/>
              </w:rPr>
              <w:t>起草单位</w:t>
            </w:r>
          </w:p>
        </w:tc>
        <w:tc>
          <w:tcPr>
            <w:tcW w:w="2608" w:type="dxa"/>
            <w:vAlign w:val="center"/>
          </w:tcPr>
          <w:p w14:paraId="13667C5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vertAlign w:val="baseline"/>
                <w:lang w:eastAsia="zh-CN"/>
              </w:rPr>
              <w:t>起草人员</w:t>
            </w:r>
          </w:p>
        </w:tc>
        <w:tc>
          <w:tcPr>
            <w:tcW w:w="2375" w:type="dxa"/>
            <w:vAlign w:val="center"/>
          </w:tcPr>
          <w:p w14:paraId="7E25D6CC">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vertAlign w:val="baseline"/>
                <w:lang w:eastAsia="zh-CN"/>
              </w:rPr>
              <w:t>分工</w:t>
            </w:r>
          </w:p>
        </w:tc>
      </w:tr>
      <w:tr w14:paraId="5D66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restart"/>
            <w:vAlign w:val="center"/>
          </w:tcPr>
          <w:p w14:paraId="02A0F45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国网江苏省电力有限公司</w:t>
            </w:r>
          </w:p>
          <w:p w14:paraId="624DB795">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asciiTheme="minorEastAsia" w:hAnsiTheme="minorEastAsia" w:eastAsiaTheme="minorEastAsia" w:cstheme="minorEastAsia"/>
                <w:sz w:val="21"/>
                <w:szCs w:val="21"/>
                <w:highlight w:val="none"/>
              </w:rPr>
              <w:t>营销服务中心</w:t>
            </w:r>
          </w:p>
        </w:tc>
        <w:tc>
          <w:tcPr>
            <w:tcW w:w="2608" w:type="dxa"/>
            <w:vAlign w:val="center"/>
          </w:tcPr>
          <w:p w14:paraId="69ABDBA6">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sz w:val="21"/>
                <w:szCs w:val="21"/>
              </w:rPr>
              <w:t>程含渺</w:t>
            </w:r>
          </w:p>
        </w:tc>
        <w:tc>
          <w:tcPr>
            <w:tcW w:w="2375" w:type="dxa"/>
            <w:vAlign w:val="center"/>
          </w:tcPr>
          <w:p w14:paraId="3A1C4E4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color w:val="000000"/>
                <w:sz w:val="21"/>
                <w:szCs w:val="21"/>
                <w:vertAlign w:val="baseline"/>
                <w:lang w:val="en-US" w:eastAsia="zh-CN"/>
              </w:rPr>
            </w:pPr>
            <w:r>
              <w:rPr>
                <w:rFonts w:hint="eastAsia"/>
                <w:color w:val="000000"/>
                <w:sz w:val="21"/>
                <w:szCs w:val="21"/>
                <w:vertAlign w:val="baseline"/>
                <w:lang w:val="en-US" w:eastAsia="zh-CN"/>
              </w:rPr>
              <w:t>总协调</w:t>
            </w:r>
          </w:p>
        </w:tc>
      </w:tr>
      <w:tr w14:paraId="1746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3773" w:type="dxa"/>
            <w:vMerge w:val="continue"/>
            <w:vAlign w:val="center"/>
          </w:tcPr>
          <w:p w14:paraId="622EFA9A">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25C51E7C">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sz w:val="21"/>
                <w:szCs w:val="21"/>
              </w:rPr>
              <w:t>段梅梅</w:t>
            </w:r>
          </w:p>
        </w:tc>
        <w:tc>
          <w:tcPr>
            <w:tcW w:w="2375" w:type="dxa"/>
            <w:vAlign w:val="center"/>
          </w:tcPr>
          <w:p w14:paraId="5A5293C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eastAsia="宋体"/>
                <w:color w:val="000000"/>
                <w:sz w:val="21"/>
                <w:szCs w:val="21"/>
                <w:vertAlign w:val="baseline"/>
                <w:lang w:val="en-US" w:eastAsia="zh-CN"/>
              </w:rPr>
            </w:pPr>
            <w:r>
              <w:rPr>
                <w:rFonts w:hint="eastAsia"/>
                <w:color w:val="000000"/>
                <w:sz w:val="21"/>
                <w:szCs w:val="21"/>
              </w:rPr>
              <w:t>第</w:t>
            </w:r>
            <w:r>
              <w:rPr>
                <w:rFonts w:hint="eastAsia"/>
                <w:color w:val="000000"/>
                <w:sz w:val="21"/>
                <w:szCs w:val="21"/>
                <w:lang w:val="en-US" w:eastAsia="zh-CN"/>
              </w:rPr>
              <w:t>1</w:t>
            </w:r>
            <w:r>
              <w:rPr>
                <w:rFonts w:hint="eastAsia"/>
                <w:color w:val="000000"/>
                <w:sz w:val="21"/>
                <w:szCs w:val="21"/>
              </w:rPr>
              <w:t>章</w:t>
            </w:r>
            <w:r>
              <w:rPr>
                <w:rFonts w:hint="eastAsia"/>
                <w:color w:val="000000"/>
                <w:sz w:val="21"/>
                <w:szCs w:val="21"/>
                <w:lang w:eastAsia="zh-CN"/>
              </w:rPr>
              <w:t>、</w:t>
            </w:r>
            <w:r>
              <w:rPr>
                <w:rFonts w:hint="eastAsia"/>
                <w:color w:val="000000"/>
                <w:sz w:val="21"/>
                <w:szCs w:val="21"/>
                <w:lang w:val="en-US" w:eastAsia="zh-CN"/>
              </w:rPr>
              <w:t>第2章编写</w:t>
            </w:r>
          </w:p>
        </w:tc>
      </w:tr>
      <w:tr w14:paraId="2B9C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341075E3">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714145B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eastAsia="宋体"/>
                <w:sz w:val="21"/>
                <w:szCs w:val="21"/>
                <w:lang w:val="en-US" w:eastAsia="zh-CN"/>
              </w:rPr>
            </w:pPr>
            <w:r>
              <w:rPr>
                <w:rFonts w:hint="eastAsia"/>
                <w:sz w:val="21"/>
                <w:szCs w:val="21"/>
                <w:lang w:val="en-US" w:eastAsia="zh-CN"/>
              </w:rPr>
              <w:t>王忠东</w:t>
            </w:r>
          </w:p>
        </w:tc>
        <w:tc>
          <w:tcPr>
            <w:tcW w:w="2375" w:type="dxa"/>
            <w:vAlign w:val="center"/>
          </w:tcPr>
          <w:p w14:paraId="628AA095">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eastAsia="宋体"/>
                <w:color w:val="000000"/>
                <w:sz w:val="21"/>
                <w:szCs w:val="21"/>
                <w:vertAlign w:val="baseline"/>
                <w:lang w:val="en-US" w:eastAsia="zh-CN"/>
              </w:rPr>
            </w:pPr>
            <w:r>
              <w:rPr>
                <w:rFonts w:hint="eastAsia"/>
                <w:color w:val="000000"/>
                <w:sz w:val="21"/>
                <w:szCs w:val="21"/>
              </w:rPr>
              <w:t>第</w:t>
            </w:r>
            <w:r>
              <w:rPr>
                <w:rFonts w:hint="eastAsia"/>
                <w:color w:val="000000"/>
                <w:sz w:val="21"/>
                <w:szCs w:val="21"/>
                <w:lang w:val="en-US" w:eastAsia="zh-CN"/>
              </w:rPr>
              <w:t>3</w:t>
            </w:r>
            <w:r>
              <w:rPr>
                <w:rFonts w:hint="eastAsia"/>
                <w:color w:val="000000"/>
                <w:sz w:val="21"/>
                <w:szCs w:val="21"/>
              </w:rPr>
              <w:t>章</w:t>
            </w:r>
            <w:r>
              <w:rPr>
                <w:rFonts w:hint="eastAsia"/>
                <w:color w:val="000000"/>
                <w:sz w:val="21"/>
                <w:szCs w:val="21"/>
                <w:lang w:eastAsia="zh-CN"/>
              </w:rPr>
              <w:t>、</w:t>
            </w:r>
            <w:r>
              <w:rPr>
                <w:rFonts w:hint="eastAsia"/>
                <w:color w:val="000000"/>
                <w:sz w:val="21"/>
                <w:szCs w:val="21"/>
                <w:lang w:val="en-US" w:eastAsia="zh-CN"/>
              </w:rPr>
              <w:t>第4章编写</w:t>
            </w:r>
          </w:p>
        </w:tc>
      </w:tr>
      <w:tr w14:paraId="6FA1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47CD8BE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65141E5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rPr>
            </w:pPr>
            <w:r>
              <w:rPr>
                <w:rFonts w:hint="eastAsia" w:asciiTheme="minorEastAsia" w:hAnsiTheme="minorEastAsia" w:eastAsiaTheme="minorEastAsia" w:cstheme="minorEastAsia"/>
                <w:sz w:val="21"/>
                <w:szCs w:val="21"/>
                <w:lang w:val="en-US" w:eastAsia="zh-CN"/>
              </w:rPr>
              <w:t>周承翰</w:t>
            </w:r>
          </w:p>
        </w:tc>
        <w:tc>
          <w:tcPr>
            <w:tcW w:w="2375" w:type="dxa"/>
            <w:vAlign w:val="center"/>
          </w:tcPr>
          <w:p w14:paraId="5C89ABCB">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eastAsia="宋体"/>
                <w:color w:val="000000"/>
                <w:sz w:val="21"/>
                <w:szCs w:val="21"/>
                <w:vertAlign w:val="baseline"/>
                <w:lang w:val="en-US" w:eastAsia="zh-CN"/>
              </w:rPr>
            </w:pPr>
            <w:r>
              <w:rPr>
                <w:rFonts w:hint="eastAsia"/>
                <w:color w:val="000000"/>
                <w:sz w:val="21"/>
                <w:szCs w:val="21"/>
                <w:lang w:val="en-US" w:eastAsia="zh-CN"/>
              </w:rPr>
              <w:t>第5章、</w:t>
            </w:r>
            <w:r>
              <w:rPr>
                <w:rFonts w:hint="eastAsia"/>
                <w:color w:val="000000"/>
                <w:sz w:val="21"/>
                <w:szCs w:val="21"/>
              </w:rPr>
              <w:t>第</w:t>
            </w:r>
            <w:r>
              <w:rPr>
                <w:rFonts w:hint="eastAsia"/>
                <w:color w:val="000000"/>
                <w:sz w:val="21"/>
                <w:szCs w:val="21"/>
                <w:lang w:val="en-US" w:eastAsia="zh-CN"/>
              </w:rPr>
              <w:t>6</w:t>
            </w:r>
            <w:r>
              <w:rPr>
                <w:rFonts w:hint="eastAsia"/>
                <w:color w:val="000000"/>
                <w:sz w:val="21"/>
                <w:szCs w:val="21"/>
              </w:rPr>
              <w:t>章</w:t>
            </w:r>
            <w:r>
              <w:rPr>
                <w:rFonts w:hint="eastAsia"/>
                <w:color w:val="000000"/>
                <w:sz w:val="21"/>
                <w:szCs w:val="21"/>
                <w:lang w:val="en-US" w:eastAsia="zh-CN"/>
              </w:rPr>
              <w:t>编写</w:t>
            </w:r>
          </w:p>
        </w:tc>
      </w:tr>
      <w:tr w14:paraId="11A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4C95848B">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08C28C07">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eastAsia="zh-CN"/>
              </w:rPr>
            </w:pPr>
            <w:r>
              <w:rPr>
                <w:rFonts w:hint="eastAsia"/>
                <w:sz w:val="21"/>
                <w:szCs w:val="21"/>
                <w:lang w:eastAsia="zh-CN"/>
              </w:rPr>
              <w:t>方凯杰</w:t>
            </w:r>
          </w:p>
        </w:tc>
        <w:tc>
          <w:tcPr>
            <w:tcW w:w="2375" w:type="dxa"/>
            <w:vAlign w:val="center"/>
          </w:tcPr>
          <w:p w14:paraId="4B2EBA0B">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eastAsia="宋体"/>
                <w:color w:val="000000"/>
                <w:sz w:val="21"/>
                <w:szCs w:val="21"/>
                <w:vertAlign w:val="baseline"/>
                <w:lang w:val="en-US" w:eastAsia="zh-CN"/>
              </w:rPr>
            </w:pPr>
            <w:r>
              <w:rPr>
                <w:rFonts w:hint="eastAsia"/>
                <w:color w:val="000000"/>
                <w:sz w:val="21"/>
                <w:szCs w:val="21"/>
              </w:rPr>
              <w:t>第</w:t>
            </w:r>
            <w:r>
              <w:rPr>
                <w:rFonts w:hint="eastAsia"/>
                <w:color w:val="000000"/>
                <w:sz w:val="21"/>
                <w:szCs w:val="21"/>
                <w:lang w:val="en-US" w:eastAsia="zh-CN"/>
              </w:rPr>
              <w:t>7</w:t>
            </w:r>
            <w:r>
              <w:rPr>
                <w:rFonts w:hint="eastAsia"/>
                <w:color w:val="000000"/>
                <w:sz w:val="21"/>
                <w:szCs w:val="21"/>
              </w:rPr>
              <w:t>章</w:t>
            </w:r>
            <w:r>
              <w:rPr>
                <w:rFonts w:hint="eastAsia"/>
                <w:color w:val="000000"/>
                <w:sz w:val="21"/>
                <w:szCs w:val="21"/>
                <w:lang w:val="en-US" w:eastAsia="zh-CN"/>
              </w:rPr>
              <w:t>编写</w:t>
            </w:r>
          </w:p>
        </w:tc>
      </w:tr>
      <w:tr w14:paraId="5A23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3773" w:type="dxa"/>
            <w:vMerge w:val="continue"/>
            <w:vAlign w:val="center"/>
          </w:tcPr>
          <w:p w14:paraId="66F247B6">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5B5B9CE8">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eastAsia="zh-CN"/>
              </w:rPr>
              <w:t>鲍进</w:t>
            </w:r>
          </w:p>
        </w:tc>
        <w:tc>
          <w:tcPr>
            <w:tcW w:w="2375" w:type="dxa"/>
            <w:vAlign w:val="center"/>
          </w:tcPr>
          <w:p w14:paraId="2128A380">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第8章编写</w:t>
            </w:r>
          </w:p>
        </w:tc>
      </w:tr>
      <w:tr w14:paraId="50E3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3773" w:type="dxa"/>
            <w:vMerge w:val="restart"/>
            <w:vAlign w:val="center"/>
          </w:tcPr>
          <w:p w14:paraId="40161D9F">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asciiTheme="minorEastAsia" w:hAnsiTheme="minorEastAsia" w:eastAsiaTheme="minorEastAsia" w:cstheme="minorEastAsia"/>
                <w:sz w:val="21"/>
                <w:szCs w:val="21"/>
                <w:highlight w:val="none"/>
                <w:lang w:eastAsia="zh-CN"/>
              </w:rPr>
              <w:t>国网江苏省电力有限公司</w:t>
            </w:r>
          </w:p>
        </w:tc>
        <w:tc>
          <w:tcPr>
            <w:tcW w:w="2608" w:type="dxa"/>
            <w:vAlign w:val="center"/>
          </w:tcPr>
          <w:p w14:paraId="0ED377EC">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sz w:val="21"/>
                <w:szCs w:val="21"/>
                <w:lang w:val="en-US" w:eastAsia="zh-CN"/>
              </w:rPr>
            </w:pPr>
            <w:r>
              <w:rPr>
                <w:rFonts w:hint="eastAsia"/>
                <w:sz w:val="21"/>
                <w:szCs w:val="21"/>
                <w:lang w:val="en-US" w:eastAsia="zh-CN"/>
              </w:rPr>
              <w:t>阮文骏</w:t>
            </w:r>
          </w:p>
        </w:tc>
        <w:tc>
          <w:tcPr>
            <w:tcW w:w="2375" w:type="dxa"/>
            <w:vAlign w:val="center"/>
          </w:tcPr>
          <w:p w14:paraId="4DD064A2">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color w:val="000000"/>
                <w:sz w:val="21"/>
                <w:szCs w:val="21"/>
                <w:lang w:val="en-US"/>
              </w:rPr>
            </w:pPr>
            <w:r>
              <w:rPr>
                <w:rFonts w:hint="eastAsia"/>
                <w:color w:val="000000"/>
                <w:sz w:val="21"/>
                <w:szCs w:val="21"/>
                <w:lang w:eastAsia="zh-CN"/>
              </w:rPr>
              <w:t>组织验证</w:t>
            </w:r>
            <w:r>
              <w:rPr>
                <w:rFonts w:hint="eastAsia"/>
                <w:color w:val="000000"/>
                <w:sz w:val="21"/>
                <w:szCs w:val="21"/>
              </w:rPr>
              <w:t>第</w:t>
            </w:r>
            <w:r>
              <w:rPr>
                <w:rFonts w:hint="eastAsia"/>
                <w:color w:val="000000"/>
                <w:sz w:val="21"/>
                <w:szCs w:val="21"/>
                <w:lang w:val="en-US" w:eastAsia="zh-CN"/>
              </w:rPr>
              <w:t>5、6、7</w:t>
            </w:r>
            <w:r>
              <w:rPr>
                <w:rFonts w:hint="eastAsia"/>
                <w:color w:val="000000"/>
                <w:sz w:val="21"/>
                <w:szCs w:val="21"/>
              </w:rPr>
              <w:t>章</w:t>
            </w:r>
            <w:r>
              <w:rPr>
                <w:rFonts w:hint="eastAsia"/>
                <w:color w:val="000000"/>
                <w:sz w:val="21"/>
                <w:szCs w:val="21"/>
                <w:lang w:val="en-US" w:eastAsia="zh-CN"/>
              </w:rPr>
              <w:t>技术指标</w:t>
            </w:r>
          </w:p>
        </w:tc>
      </w:tr>
      <w:tr w14:paraId="2EF9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393D5167">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Theme="minorEastAsia" w:hAnsiTheme="minorEastAsia" w:eastAsiaTheme="minorEastAsia" w:cstheme="minorEastAsia"/>
                <w:sz w:val="21"/>
                <w:szCs w:val="21"/>
                <w:highlight w:val="none"/>
                <w:lang w:eastAsia="zh-CN"/>
              </w:rPr>
            </w:pPr>
          </w:p>
        </w:tc>
        <w:tc>
          <w:tcPr>
            <w:tcW w:w="2608" w:type="dxa"/>
            <w:vAlign w:val="center"/>
          </w:tcPr>
          <w:p w14:paraId="179B669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val="en-US" w:eastAsia="zh-CN"/>
              </w:rPr>
            </w:pPr>
            <w:r>
              <w:rPr>
                <w:rFonts w:hint="eastAsia"/>
                <w:sz w:val="21"/>
                <w:szCs w:val="21"/>
              </w:rPr>
              <w:t>焦系泽</w:t>
            </w:r>
          </w:p>
        </w:tc>
        <w:tc>
          <w:tcPr>
            <w:tcW w:w="2375" w:type="dxa"/>
            <w:vAlign w:val="center"/>
          </w:tcPr>
          <w:p w14:paraId="3C78481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rPr>
            </w:pPr>
            <w:r>
              <w:rPr>
                <w:rFonts w:hint="eastAsia"/>
                <w:color w:val="000000"/>
                <w:sz w:val="21"/>
                <w:szCs w:val="21"/>
                <w:lang w:eastAsia="zh-CN"/>
              </w:rPr>
              <w:t>参加验证</w:t>
            </w:r>
            <w:r>
              <w:rPr>
                <w:rFonts w:hint="eastAsia"/>
                <w:color w:val="000000"/>
                <w:sz w:val="21"/>
                <w:szCs w:val="21"/>
              </w:rPr>
              <w:t>第</w:t>
            </w:r>
            <w:r>
              <w:rPr>
                <w:rFonts w:hint="eastAsia"/>
                <w:color w:val="000000"/>
                <w:sz w:val="21"/>
                <w:szCs w:val="21"/>
                <w:lang w:val="en-US" w:eastAsia="zh-CN"/>
              </w:rPr>
              <w:t>6、7</w:t>
            </w:r>
            <w:r>
              <w:rPr>
                <w:rFonts w:hint="eastAsia"/>
                <w:color w:val="000000"/>
                <w:sz w:val="21"/>
                <w:szCs w:val="21"/>
              </w:rPr>
              <w:t>章</w:t>
            </w:r>
            <w:r>
              <w:rPr>
                <w:rFonts w:hint="eastAsia"/>
                <w:color w:val="000000"/>
                <w:sz w:val="21"/>
                <w:szCs w:val="21"/>
                <w:lang w:val="en-US" w:eastAsia="zh-CN"/>
              </w:rPr>
              <w:t>技术指标</w:t>
            </w:r>
          </w:p>
        </w:tc>
      </w:tr>
      <w:tr w14:paraId="1325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Align w:val="center"/>
          </w:tcPr>
          <w:p w14:paraId="6850C8B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asciiTheme="minorEastAsia" w:hAnsiTheme="minorEastAsia" w:eastAsiaTheme="minorEastAsia" w:cstheme="minorEastAsia"/>
                <w:sz w:val="21"/>
                <w:szCs w:val="21"/>
                <w:highlight w:val="none"/>
                <w:lang w:val="en-US" w:eastAsia="zh-CN"/>
              </w:rPr>
              <w:t>国网电力科学研究院有限公司</w:t>
            </w:r>
          </w:p>
        </w:tc>
        <w:tc>
          <w:tcPr>
            <w:tcW w:w="2608" w:type="dxa"/>
            <w:vAlign w:val="center"/>
          </w:tcPr>
          <w:p w14:paraId="132EBA6F">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val="en-US" w:eastAsia="zh-CN"/>
              </w:rPr>
            </w:pPr>
            <w:r>
              <w:rPr>
                <w:rFonts w:hint="eastAsia"/>
                <w:sz w:val="21"/>
                <w:szCs w:val="21"/>
                <w:lang w:eastAsia="zh-CN"/>
              </w:rPr>
              <w:t>桑林</w:t>
            </w:r>
          </w:p>
        </w:tc>
        <w:tc>
          <w:tcPr>
            <w:tcW w:w="2375" w:type="dxa"/>
            <w:vAlign w:val="center"/>
          </w:tcPr>
          <w:p w14:paraId="4075688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lang w:val="en-US" w:eastAsia="zh-CN"/>
              </w:rPr>
              <w:t>负责第4章系统架构设计、第9章编写</w:t>
            </w:r>
          </w:p>
        </w:tc>
      </w:tr>
      <w:tr w14:paraId="2632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restart"/>
            <w:vAlign w:val="center"/>
          </w:tcPr>
          <w:p w14:paraId="62F73757">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color w:val="000000"/>
                <w:sz w:val="21"/>
                <w:szCs w:val="21"/>
                <w:vertAlign w:val="baseline"/>
                <w:lang w:val="en-US" w:eastAsia="zh-CN"/>
              </w:rPr>
            </w:pPr>
            <w:r>
              <w:rPr>
                <w:rFonts w:hint="eastAsia" w:asciiTheme="minorEastAsia" w:hAnsiTheme="minorEastAsia" w:eastAsiaTheme="minorEastAsia" w:cstheme="minorEastAsia"/>
                <w:sz w:val="21"/>
                <w:szCs w:val="21"/>
                <w:highlight w:val="none"/>
                <w:lang w:val="en-US" w:eastAsia="zh-CN"/>
              </w:rPr>
              <w:t>国电南瑞科技股份</w:t>
            </w:r>
            <w:r>
              <w:rPr>
                <w:rFonts w:hint="eastAsia" w:asciiTheme="minorEastAsia" w:hAnsiTheme="minorEastAsia" w:eastAsiaTheme="minorEastAsia" w:cstheme="minorEastAsia"/>
                <w:sz w:val="21"/>
                <w:szCs w:val="21"/>
                <w:highlight w:val="none"/>
              </w:rPr>
              <w:t>有限公司</w:t>
            </w:r>
          </w:p>
        </w:tc>
        <w:tc>
          <w:tcPr>
            <w:tcW w:w="2608" w:type="dxa"/>
            <w:vAlign w:val="center"/>
          </w:tcPr>
          <w:p w14:paraId="18005B06">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eastAsia="zh-CN"/>
              </w:rPr>
            </w:pPr>
            <w:r>
              <w:rPr>
                <w:rFonts w:hint="eastAsia" w:asciiTheme="minorEastAsia" w:hAnsiTheme="minorEastAsia" w:eastAsiaTheme="minorEastAsia" w:cstheme="minorEastAsia"/>
                <w:sz w:val="21"/>
                <w:szCs w:val="21"/>
                <w:lang w:val="en-US" w:eastAsia="zh-CN"/>
              </w:rPr>
              <w:t>陈良亮</w:t>
            </w:r>
          </w:p>
        </w:tc>
        <w:tc>
          <w:tcPr>
            <w:tcW w:w="2375" w:type="dxa"/>
            <w:vAlign w:val="center"/>
          </w:tcPr>
          <w:p w14:paraId="50E1294D">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lang w:val="en-US" w:eastAsia="zh-CN"/>
              </w:rPr>
              <w:t>参与第4章系统架构设计和内容编写</w:t>
            </w:r>
          </w:p>
        </w:tc>
      </w:tr>
      <w:tr w14:paraId="4B00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0EA274FC">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3C3DEA97">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Theme="minorEastAsia" w:hAnsiTheme="minorEastAsia" w:eastAsiaTheme="minorEastAsia" w:cstheme="minorEastAsia"/>
                <w:sz w:val="21"/>
                <w:szCs w:val="21"/>
                <w:lang w:val="en-US" w:eastAsia="zh-CN"/>
              </w:rPr>
            </w:pPr>
            <w:r>
              <w:rPr>
                <w:rFonts w:hint="eastAsia"/>
                <w:sz w:val="21"/>
                <w:szCs w:val="21"/>
                <w:lang w:val="en-US" w:eastAsia="zh-CN"/>
              </w:rPr>
              <w:t>陈家凯</w:t>
            </w:r>
          </w:p>
        </w:tc>
        <w:tc>
          <w:tcPr>
            <w:tcW w:w="2375" w:type="dxa"/>
            <w:vAlign w:val="center"/>
          </w:tcPr>
          <w:p w14:paraId="34BF00F6">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lang w:val="en-US" w:eastAsia="zh-CN"/>
              </w:rPr>
            </w:pPr>
            <w:r>
              <w:rPr>
                <w:rFonts w:hint="eastAsia"/>
                <w:color w:val="000000"/>
                <w:sz w:val="21"/>
                <w:szCs w:val="21"/>
                <w:lang w:val="en-US" w:eastAsia="zh-CN"/>
              </w:rPr>
              <w:t>负责第5章技术指标</w:t>
            </w:r>
          </w:p>
          <w:p w14:paraId="6DA14ADF">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lang w:val="en-US" w:eastAsia="zh-CN"/>
              </w:rPr>
              <w:t>制定</w:t>
            </w:r>
          </w:p>
        </w:tc>
      </w:tr>
      <w:tr w14:paraId="3290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6965D134">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74BFB5DF">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eastAsia="zh-CN"/>
              </w:rPr>
            </w:pPr>
            <w:r>
              <w:rPr>
                <w:rFonts w:hint="eastAsia"/>
                <w:sz w:val="21"/>
                <w:szCs w:val="21"/>
                <w:lang w:val="en-US" w:eastAsia="zh-CN"/>
              </w:rPr>
              <w:t>陆文韬</w:t>
            </w:r>
          </w:p>
        </w:tc>
        <w:tc>
          <w:tcPr>
            <w:tcW w:w="2375" w:type="dxa"/>
            <w:vAlign w:val="center"/>
          </w:tcPr>
          <w:p w14:paraId="24561E4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lang w:val="en-US" w:eastAsia="zh-CN"/>
              </w:rPr>
            </w:pPr>
            <w:r>
              <w:rPr>
                <w:rFonts w:hint="eastAsia"/>
                <w:color w:val="000000"/>
                <w:sz w:val="21"/>
                <w:szCs w:val="21"/>
                <w:lang w:val="en-US" w:eastAsia="zh-CN"/>
              </w:rPr>
              <w:t>负责第6章技术指标</w:t>
            </w:r>
          </w:p>
          <w:p w14:paraId="70E1ECD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lang w:val="en-US" w:eastAsia="zh-CN"/>
              </w:rPr>
              <w:t>制定</w:t>
            </w:r>
          </w:p>
        </w:tc>
      </w:tr>
      <w:tr w14:paraId="47AD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7FF19C0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p>
        </w:tc>
        <w:tc>
          <w:tcPr>
            <w:tcW w:w="2608" w:type="dxa"/>
            <w:vAlign w:val="center"/>
          </w:tcPr>
          <w:p w14:paraId="062AD0A6">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eastAsia="zh-CN"/>
              </w:rPr>
            </w:pPr>
            <w:r>
              <w:rPr>
                <w:rFonts w:hint="eastAsia"/>
                <w:sz w:val="21"/>
                <w:szCs w:val="21"/>
                <w:lang w:val="en-US" w:eastAsia="zh-CN"/>
              </w:rPr>
              <w:t>李旭玲</w:t>
            </w:r>
          </w:p>
        </w:tc>
        <w:tc>
          <w:tcPr>
            <w:tcW w:w="2375" w:type="dxa"/>
            <w:vAlign w:val="center"/>
          </w:tcPr>
          <w:p w14:paraId="5411F95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lang w:val="en-US" w:eastAsia="zh-CN"/>
              </w:rPr>
            </w:pPr>
            <w:r>
              <w:rPr>
                <w:rFonts w:hint="eastAsia"/>
                <w:color w:val="000000"/>
                <w:sz w:val="21"/>
                <w:szCs w:val="21"/>
                <w:lang w:val="en-US" w:eastAsia="zh-CN"/>
              </w:rPr>
              <w:t>负责第7章技术指标</w:t>
            </w:r>
          </w:p>
          <w:p w14:paraId="34E5755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color w:val="000000"/>
                <w:sz w:val="21"/>
                <w:szCs w:val="21"/>
                <w:lang w:val="en-US" w:eastAsia="zh-CN"/>
              </w:rPr>
              <w:t>制定</w:t>
            </w:r>
          </w:p>
        </w:tc>
      </w:tr>
      <w:tr w14:paraId="26F5A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Merge w:val="continue"/>
            <w:vAlign w:val="center"/>
          </w:tcPr>
          <w:p w14:paraId="5A116F95">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Theme="minorEastAsia" w:hAnsiTheme="minorEastAsia" w:eastAsiaTheme="minorEastAsia" w:cstheme="minorEastAsia"/>
                <w:sz w:val="21"/>
                <w:szCs w:val="21"/>
                <w:highlight w:val="none"/>
                <w:lang w:eastAsia="zh-CN"/>
              </w:rPr>
            </w:pPr>
          </w:p>
        </w:tc>
        <w:tc>
          <w:tcPr>
            <w:tcW w:w="2608" w:type="dxa"/>
            <w:vAlign w:val="center"/>
          </w:tcPr>
          <w:p w14:paraId="62AFBD17">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sz w:val="21"/>
                <w:szCs w:val="21"/>
                <w:lang w:val="en-US" w:eastAsia="zh-CN"/>
              </w:rPr>
            </w:pPr>
            <w:r>
              <w:rPr>
                <w:rFonts w:hint="eastAsia"/>
                <w:sz w:val="21"/>
                <w:szCs w:val="21"/>
                <w:lang w:val="en-US" w:eastAsia="zh-CN"/>
              </w:rPr>
              <w:t>窦胜</w:t>
            </w:r>
          </w:p>
        </w:tc>
        <w:tc>
          <w:tcPr>
            <w:tcW w:w="2375" w:type="dxa"/>
            <w:vAlign w:val="center"/>
          </w:tcPr>
          <w:p w14:paraId="31844995">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lang w:val="en-US" w:eastAsia="zh-CN"/>
              </w:rPr>
            </w:pPr>
            <w:r>
              <w:rPr>
                <w:rFonts w:hint="eastAsia"/>
                <w:color w:val="000000"/>
                <w:sz w:val="21"/>
                <w:szCs w:val="21"/>
                <w:lang w:val="en-US" w:eastAsia="zh-CN"/>
              </w:rPr>
              <w:t>负责第8章技术指标</w:t>
            </w:r>
          </w:p>
          <w:p w14:paraId="5850902B">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eastAsia="宋体"/>
                <w:color w:val="000000"/>
                <w:sz w:val="21"/>
                <w:szCs w:val="21"/>
                <w:lang w:val="en-US" w:eastAsia="zh-CN"/>
              </w:rPr>
            </w:pPr>
            <w:r>
              <w:rPr>
                <w:rFonts w:hint="eastAsia"/>
                <w:color w:val="000000"/>
                <w:sz w:val="21"/>
                <w:szCs w:val="21"/>
                <w:lang w:val="en-US" w:eastAsia="zh-CN"/>
              </w:rPr>
              <w:t>制定</w:t>
            </w:r>
          </w:p>
        </w:tc>
      </w:tr>
      <w:tr w14:paraId="7605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shd w:val="clear" w:color="auto" w:fill="auto"/>
            <w:vAlign w:val="center"/>
          </w:tcPr>
          <w:p w14:paraId="55972366">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宋体" w:hAnsi="宋体" w:eastAsia="宋体" w:cs="Times New Roman"/>
                <w:color w:val="000000"/>
                <w:sz w:val="21"/>
                <w:szCs w:val="21"/>
                <w:vertAlign w:val="baseline"/>
                <w:lang w:val="en-US" w:eastAsia="zh-CN" w:bidi="ar-SA"/>
              </w:rPr>
            </w:pPr>
            <w:r>
              <w:rPr>
                <w:rFonts w:hint="eastAsia" w:asciiTheme="minorEastAsia" w:hAnsiTheme="minorEastAsia" w:eastAsiaTheme="minorEastAsia" w:cstheme="minorEastAsia"/>
                <w:sz w:val="21"/>
                <w:szCs w:val="21"/>
                <w:highlight w:val="none"/>
                <w:lang w:eastAsia="zh-CN"/>
              </w:rPr>
              <w:t>苏州市产品质量检验院有限公司</w:t>
            </w:r>
          </w:p>
        </w:tc>
        <w:tc>
          <w:tcPr>
            <w:tcW w:w="2608" w:type="dxa"/>
            <w:shd w:val="clear" w:color="auto" w:fill="auto"/>
            <w:vAlign w:val="center"/>
          </w:tcPr>
          <w:p w14:paraId="6A56E67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宋体" w:hAnsi="宋体" w:eastAsia="宋体" w:cs="Times New Roman"/>
                <w:sz w:val="21"/>
                <w:szCs w:val="21"/>
                <w:lang w:val="en-US" w:eastAsia="zh-CN" w:bidi="ar-SA"/>
              </w:rPr>
            </w:pPr>
            <w:r>
              <w:rPr>
                <w:rFonts w:hint="eastAsia"/>
                <w:sz w:val="21"/>
                <w:szCs w:val="21"/>
                <w:lang w:eastAsia="zh-CN"/>
              </w:rPr>
              <w:t>魏兵兵</w:t>
            </w:r>
          </w:p>
        </w:tc>
        <w:tc>
          <w:tcPr>
            <w:tcW w:w="2375" w:type="dxa"/>
            <w:shd w:val="clear" w:color="auto" w:fill="auto"/>
            <w:vAlign w:val="center"/>
          </w:tcPr>
          <w:p w14:paraId="26D24A9D">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宋体" w:hAnsi="宋体" w:eastAsia="宋体" w:cs="Times New Roman"/>
                <w:color w:val="000000"/>
                <w:sz w:val="21"/>
                <w:szCs w:val="21"/>
                <w:vertAlign w:val="baseline"/>
                <w:lang w:val="en-US" w:eastAsia="zh-CN" w:bidi="ar-SA"/>
              </w:rPr>
            </w:pPr>
            <w:r>
              <w:rPr>
                <w:rFonts w:hint="eastAsia"/>
                <w:color w:val="000000"/>
                <w:sz w:val="21"/>
                <w:szCs w:val="21"/>
              </w:rPr>
              <w:t>第</w:t>
            </w:r>
            <w:r>
              <w:rPr>
                <w:rFonts w:hint="eastAsia"/>
                <w:color w:val="000000"/>
                <w:sz w:val="21"/>
                <w:szCs w:val="21"/>
                <w:lang w:val="en-US" w:eastAsia="zh-CN"/>
              </w:rPr>
              <w:t>5-8章技术指标检验检测可行性评估</w:t>
            </w:r>
          </w:p>
        </w:tc>
      </w:tr>
      <w:tr w14:paraId="469C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Align w:val="center"/>
          </w:tcPr>
          <w:p w14:paraId="17B6478E">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asciiTheme="minorEastAsia" w:hAnsiTheme="minorEastAsia" w:eastAsiaTheme="minorEastAsia" w:cstheme="minorEastAsia"/>
                <w:sz w:val="21"/>
                <w:szCs w:val="21"/>
                <w:highlight w:val="none"/>
              </w:rPr>
              <w:t>国网江苏省电力有限</w:t>
            </w:r>
            <w:r>
              <w:rPr>
                <w:rFonts w:hint="eastAsia" w:asciiTheme="minorEastAsia" w:hAnsiTheme="minorEastAsia" w:eastAsiaTheme="minorEastAsia" w:cstheme="minorEastAsia"/>
                <w:sz w:val="21"/>
                <w:szCs w:val="21"/>
                <w:highlight w:val="none"/>
                <w:lang w:eastAsia="zh-CN"/>
              </w:rPr>
              <w:t>电力科学研究院</w:t>
            </w:r>
          </w:p>
        </w:tc>
        <w:tc>
          <w:tcPr>
            <w:tcW w:w="2608" w:type="dxa"/>
            <w:vAlign w:val="center"/>
          </w:tcPr>
          <w:p w14:paraId="3AE4AFAB">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sz w:val="21"/>
                <w:szCs w:val="21"/>
                <w:lang w:eastAsia="zh-CN"/>
              </w:rPr>
            </w:pPr>
            <w:r>
              <w:rPr>
                <w:rFonts w:hint="eastAsia" w:asciiTheme="minorEastAsia" w:hAnsiTheme="minorEastAsia" w:eastAsiaTheme="minorEastAsia" w:cstheme="minorEastAsia"/>
                <w:sz w:val="21"/>
                <w:szCs w:val="21"/>
                <w:lang w:eastAsia="zh-CN"/>
              </w:rPr>
              <w:t>王明深</w:t>
            </w:r>
          </w:p>
        </w:tc>
        <w:tc>
          <w:tcPr>
            <w:tcW w:w="2375" w:type="dxa"/>
            <w:vAlign w:val="center"/>
          </w:tcPr>
          <w:p w14:paraId="08AB17E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eastAsia="宋体"/>
                <w:color w:val="000000"/>
                <w:sz w:val="21"/>
                <w:szCs w:val="21"/>
                <w:vertAlign w:val="baseline"/>
                <w:lang w:val="en-US" w:eastAsia="zh-CN"/>
              </w:rPr>
            </w:pPr>
            <w:r>
              <w:rPr>
                <w:rFonts w:hint="eastAsia"/>
                <w:color w:val="000000"/>
                <w:sz w:val="21"/>
                <w:szCs w:val="21"/>
                <w:lang w:val="en-US" w:eastAsia="zh-CN"/>
              </w:rPr>
              <w:t>参与第4章系统架构设计、互动功能设计</w:t>
            </w:r>
          </w:p>
        </w:tc>
      </w:tr>
      <w:tr w14:paraId="26FB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Align w:val="center"/>
          </w:tcPr>
          <w:p w14:paraId="47747222">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asciiTheme="minorEastAsia" w:hAnsiTheme="minorEastAsia" w:eastAsiaTheme="minorEastAsia" w:cstheme="minorEastAsia"/>
                <w:sz w:val="21"/>
                <w:szCs w:val="21"/>
                <w:highlight w:val="none"/>
                <w:lang w:eastAsia="zh-CN"/>
              </w:rPr>
              <w:t>国网江苏电动汽车服务有限公司</w:t>
            </w:r>
          </w:p>
        </w:tc>
        <w:tc>
          <w:tcPr>
            <w:tcW w:w="2608" w:type="dxa"/>
            <w:vAlign w:val="center"/>
          </w:tcPr>
          <w:p w14:paraId="6DC4E421">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王</w:t>
            </w:r>
            <w:bookmarkStart w:id="33" w:name="_GoBack"/>
            <w:r>
              <w:rPr>
                <w:rFonts w:hint="eastAsia" w:asciiTheme="minorEastAsia" w:hAnsiTheme="minorEastAsia" w:eastAsiaTheme="minorEastAsia" w:cstheme="minorEastAsia"/>
                <w:sz w:val="21"/>
                <w:szCs w:val="21"/>
                <w:lang w:eastAsia="zh-CN"/>
              </w:rPr>
              <w:t>铮</w:t>
            </w:r>
            <w:bookmarkEnd w:id="33"/>
          </w:p>
        </w:tc>
        <w:tc>
          <w:tcPr>
            <w:tcW w:w="2375" w:type="dxa"/>
            <w:vAlign w:val="center"/>
          </w:tcPr>
          <w:p w14:paraId="0E8A136A">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eastAsia="宋体"/>
                <w:color w:val="000000"/>
                <w:sz w:val="21"/>
                <w:szCs w:val="21"/>
                <w:vertAlign w:val="baseline"/>
                <w:lang w:val="en-US" w:eastAsia="zh-CN"/>
              </w:rPr>
            </w:pPr>
            <w:r>
              <w:rPr>
                <w:rFonts w:hint="eastAsia"/>
                <w:color w:val="000000"/>
                <w:sz w:val="21"/>
                <w:szCs w:val="21"/>
                <w:lang w:val="en-US" w:eastAsia="zh-CN"/>
              </w:rPr>
              <w:t>参与第4章系统架构设计、互动业务设计</w:t>
            </w:r>
          </w:p>
        </w:tc>
      </w:tr>
      <w:tr w14:paraId="7771D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3" w:type="dxa"/>
            <w:vAlign w:val="center"/>
          </w:tcPr>
          <w:p w14:paraId="049D8843">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color w:val="000000"/>
                <w:sz w:val="21"/>
                <w:szCs w:val="21"/>
                <w:vertAlign w:val="baseline"/>
                <w:lang w:eastAsia="zh-CN"/>
              </w:rPr>
            </w:pPr>
            <w:r>
              <w:rPr>
                <w:rFonts w:hint="eastAsia" w:asciiTheme="minorEastAsia" w:hAnsiTheme="minorEastAsia" w:eastAsiaTheme="minorEastAsia" w:cstheme="minorEastAsia"/>
                <w:sz w:val="21"/>
                <w:szCs w:val="21"/>
                <w:highlight w:val="none"/>
                <w:lang w:eastAsia="zh-CN"/>
              </w:rPr>
              <w:t>万帮</w:t>
            </w:r>
            <w:r>
              <w:rPr>
                <w:rFonts w:hint="eastAsia"/>
                <w:color w:val="000000"/>
                <w:sz w:val="21"/>
                <w:szCs w:val="21"/>
                <w:lang w:eastAsia="zh-CN"/>
              </w:rPr>
              <w:t>数字</w:t>
            </w:r>
            <w:r>
              <w:rPr>
                <w:rFonts w:hint="eastAsia" w:asciiTheme="minorEastAsia" w:hAnsiTheme="minorEastAsia" w:eastAsiaTheme="minorEastAsia" w:cstheme="minorEastAsia"/>
                <w:sz w:val="21"/>
                <w:szCs w:val="21"/>
                <w:highlight w:val="none"/>
                <w:lang w:eastAsia="zh-CN"/>
              </w:rPr>
              <w:t>能源股份有限公司</w:t>
            </w:r>
          </w:p>
        </w:tc>
        <w:tc>
          <w:tcPr>
            <w:tcW w:w="2608" w:type="dxa"/>
            <w:vAlign w:val="center"/>
          </w:tcPr>
          <w:p w14:paraId="657D3C19">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杨志</w:t>
            </w:r>
          </w:p>
        </w:tc>
        <w:tc>
          <w:tcPr>
            <w:tcW w:w="2375" w:type="dxa"/>
            <w:vAlign w:val="center"/>
          </w:tcPr>
          <w:p w14:paraId="6645B25C">
            <w:pPr>
              <w:pStyle w:val="34"/>
              <w:keepNext w:val="0"/>
              <w:keepLines w:val="0"/>
              <w:pageBreakBefore w:val="0"/>
              <w:widowControl/>
              <w:kinsoku/>
              <w:wordWrap/>
              <w:overflowPunct/>
              <w:topLinePunct w:val="0"/>
              <w:autoSpaceDE w:val="0"/>
              <w:autoSpaceDN w:val="0"/>
              <w:bidi w:val="0"/>
              <w:adjustRightInd/>
              <w:snapToGrid/>
              <w:spacing w:before="0" w:beforeLines="0" w:after="0" w:afterLines="0" w:line="276" w:lineRule="auto"/>
              <w:ind w:firstLine="0" w:firstLineChars="0"/>
              <w:jc w:val="center"/>
              <w:textAlignment w:val="auto"/>
              <w:rPr>
                <w:rFonts w:hint="default" w:eastAsia="宋体"/>
                <w:color w:val="000000"/>
                <w:sz w:val="21"/>
                <w:szCs w:val="21"/>
                <w:vertAlign w:val="baseline"/>
                <w:lang w:val="en-US" w:eastAsia="zh-CN"/>
              </w:rPr>
            </w:pPr>
            <w:r>
              <w:rPr>
                <w:rFonts w:hint="eastAsia"/>
                <w:color w:val="000000"/>
                <w:sz w:val="21"/>
                <w:szCs w:val="21"/>
                <w:lang w:eastAsia="zh-CN"/>
              </w:rPr>
              <w:t>负责</w:t>
            </w:r>
            <w:r>
              <w:rPr>
                <w:rFonts w:hint="eastAsia"/>
                <w:color w:val="000000"/>
                <w:sz w:val="21"/>
                <w:szCs w:val="21"/>
                <w:lang w:val="en-US" w:eastAsia="zh-CN"/>
              </w:rPr>
              <w:t>5-8章技术指标检验检测可实现性评估</w:t>
            </w:r>
          </w:p>
        </w:tc>
      </w:tr>
    </w:tbl>
    <w:p w14:paraId="1C3035B5">
      <w:pPr>
        <w:pStyle w:val="34"/>
        <w:spacing w:before="120" w:after="120" w:line="276" w:lineRule="auto"/>
        <w:ind w:firstLine="420"/>
        <w:rPr>
          <w:color w:val="000000"/>
          <w:sz w:val="21"/>
          <w:szCs w:val="21"/>
        </w:rPr>
      </w:pPr>
    </w:p>
    <w:sectPr>
      <w:headerReference r:id="rId11" w:type="default"/>
      <w:footerReference r:id="rId12" w:type="default"/>
      <w:footerReference r:id="rId13" w:type="even"/>
      <w:pgSz w:w="11907" w:h="16840"/>
      <w:pgMar w:top="1417" w:right="1134" w:bottom="1134" w:left="1417" w:header="1123" w:footer="1123" w:gutter="0"/>
      <w:pgNumType w:start="1"/>
      <w:cols w:space="720" w:num="1"/>
      <w:docGrid w:linePitch="286"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EE2D5">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991EB">
    <w:pPr>
      <w:pStyle w:val="2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D66B23">
                          <w:pPr>
                            <w:pStyle w:val="28"/>
                          </w:pPr>
                          <w:r>
                            <w:fldChar w:fldCharType="begin"/>
                          </w:r>
                          <w:r>
                            <w:instrText xml:space="preserve"> PAGE  \* MERGEFORMAT </w:instrText>
                          </w:r>
                          <w:r>
                            <w:fldChar w:fldCharType="separate"/>
                          </w:r>
                          <w:r>
                            <w:t>II</w:t>
                          </w:r>
                          <w:r>
                            <w:fldChar w:fldCharType="end"/>
                          </w:r>
                        </w:p>
                      </w:txbxContent>
                    </wps:txbx>
                    <wps:bodyPr wrap="none" lIns="0" tIns="0" rIns="0" bIns="0">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EzJt8IBAACNAwAADgAAAGRycy9lMm9Eb2MueG1srVPNjtMwEL4j8Q6W&#10;79TZHlYl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99S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xMybfCAQAAjQMAAA4AAAAAAAAAAQAgAAAAHgEAAGRycy9lMm9Eb2MueG1sUEsF&#10;BgAAAAAGAAYAWQEAAFIFAAAAAA==&#10;">
              <v:fill on="f" focussize="0,0"/>
              <v:stroke on="f"/>
              <v:imagedata o:title=""/>
              <o:lock v:ext="edit" aspectratio="f"/>
              <v:textbox inset="0mm,0mm,0mm,0mm" style="mso-fit-shape-to-text:t;">
                <w:txbxContent>
                  <w:p w14:paraId="67D66B23">
                    <w:pPr>
                      <w:pStyle w:val="2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AFFE7">
    <w:pPr>
      <w:pStyle w:val="28"/>
      <w:ind w:firstLine="1260"/>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D5C481">
                          <w:pPr>
                            <w:pStyle w:val="28"/>
                            <w:ind w:firstLine="1260"/>
                          </w:pPr>
                          <w:r>
                            <w:fldChar w:fldCharType="begin"/>
                          </w:r>
                          <w:r>
                            <w:instrText xml:space="preserve">PAGE   \* MERGEFORMAT</w:instrText>
                          </w:r>
                          <w:r>
                            <w:fldChar w:fldCharType="separate"/>
                          </w:r>
                          <w:r>
                            <w:rPr>
                              <w:lang w:val="zh-CN"/>
                            </w:rPr>
                            <w:t>31</w:t>
                          </w:r>
                          <w:r>
                            <w:fldChar w:fldCharType="end"/>
                          </w:r>
                        </w:p>
                        <w:p w14:paraId="6D6FFA43">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6ED5C481">
                    <w:pPr>
                      <w:pStyle w:val="28"/>
                      <w:ind w:firstLine="1260"/>
                    </w:pPr>
                    <w:r>
                      <w:fldChar w:fldCharType="begin"/>
                    </w:r>
                    <w:r>
                      <w:instrText xml:space="preserve">PAGE   \* MERGEFORMAT</w:instrText>
                    </w:r>
                    <w:r>
                      <w:fldChar w:fldCharType="separate"/>
                    </w:r>
                    <w:r>
                      <w:rPr>
                        <w:lang w:val="zh-CN"/>
                      </w:rPr>
                      <w:t>31</w:t>
                    </w:r>
                    <w:r>
                      <w:fldChar w:fldCharType="end"/>
                    </w:r>
                  </w:p>
                  <w:p w14:paraId="6D6FFA43">
                    <w:pPr>
                      <w:pStyle w:val="2"/>
                    </w:pPr>
                  </w:p>
                </w:txbxContent>
              </v:textbox>
            </v:shape>
          </w:pict>
        </mc:Fallback>
      </mc:AlternateContent>
    </w:r>
  </w:p>
  <w:p w14:paraId="3769244F">
    <w:pPr>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4CF30">
    <w:pPr>
      <w:pStyle w:val="28"/>
      <w:ind w:firstLine="1260"/>
    </w:pPr>
    <w:r>
      <w:fldChar w:fldCharType="begin"/>
    </w:r>
    <w:r>
      <w:instrText xml:space="preserve">PAGE   \* MERGEFORMAT</w:instrText>
    </w:r>
    <w:r>
      <w:fldChar w:fldCharType="separate"/>
    </w:r>
    <w:r>
      <w:rPr>
        <w:lang w:val="zh-CN"/>
      </w:rPr>
      <w:t>I</w:t>
    </w:r>
    <w:r>
      <w:fldChar w:fldCharType="end"/>
    </w:r>
  </w:p>
  <w:p w14:paraId="11DB0ACB">
    <w:pPr>
      <w:pStyle w:val="2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351562"/>
    </w:sdtPr>
    <w:sdtContent>
      <w:p w14:paraId="672D452E">
        <w:pPr>
          <w:pStyle w:val="28"/>
        </w:pPr>
        <w:r>
          <w:fldChar w:fldCharType="begin"/>
        </w:r>
        <w:r>
          <w:instrText xml:space="preserve">PAGE   \* MERGEFORMAT</w:instrText>
        </w:r>
        <w:r>
          <w:fldChar w:fldCharType="separate"/>
        </w:r>
        <w:r>
          <w:rPr>
            <w:lang w:val="zh-CN"/>
          </w:rPr>
          <w:t>1</w:t>
        </w:r>
        <w:r>
          <w:fldChar w:fldCharType="end"/>
        </w:r>
      </w:p>
    </w:sdtContent>
  </w:sdt>
  <w:p w14:paraId="0388967C">
    <w:pPr>
      <w:pStyle w:val="1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0869593"/>
    </w:sdtPr>
    <w:sdtContent>
      <w:p w14:paraId="02D73EDB">
        <w:pPr>
          <w:pStyle w:val="28"/>
          <w:jc w:val="left"/>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20EAE">
    <w:pPr>
      <w:pStyle w:val="180"/>
    </w:pPr>
    <w:r>
      <w:t>DB32/T 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D9D64">
    <w:pPr>
      <w:spacing w:line="0" w:lineRule="atLeast"/>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CD4A9">
    <w:pPr>
      <w:pStyle w:val="2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2B3E5">
    <w:pPr>
      <w:pStyle w:val="2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FB705">
    <w:pPr>
      <w:pStyle w:val="180"/>
    </w:pPr>
    <w:r>
      <w:t>DB32/T 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8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8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2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24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23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10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7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9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97"/>
      <w:suff w:val="nothing"/>
      <w:lvlText w:val="%1.%2.%3　"/>
      <w:lvlJc w:val="left"/>
      <w:pPr>
        <w:ind w:left="0" w:firstLine="0"/>
      </w:pPr>
      <w:rPr>
        <w:rFonts w:hint="eastAsia" w:ascii="黑体" w:hAnsi="Times New Roman" w:eastAsia="黑体"/>
        <w:b w:val="0"/>
        <w:i w:val="0"/>
        <w:sz w:val="21"/>
      </w:rPr>
    </w:lvl>
    <w:lvl w:ilvl="3" w:tentative="0">
      <w:start w:val="1"/>
      <w:numFmt w:val="decimal"/>
      <w:pStyle w:val="100"/>
      <w:suff w:val="nothing"/>
      <w:lvlText w:val="%1.%2.%3.%4　"/>
      <w:lvlJc w:val="left"/>
      <w:pPr>
        <w:ind w:left="1843"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pStyle w:val="17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1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96"/>
      <w:suff w:val="space"/>
      <w:lvlText w:val="%1"/>
      <w:lvlJc w:val="left"/>
      <w:pPr>
        <w:ind w:left="623" w:hanging="425"/>
      </w:pPr>
      <w:rPr>
        <w:rFonts w:hint="eastAsia"/>
      </w:rPr>
    </w:lvl>
    <w:lvl w:ilvl="1" w:tentative="0">
      <w:start w:val="1"/>
      <w:numFmt w:val="decimal"/>
      <w:pStyle w:val="19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55"/>
      <w:suff w:val="nothing"/>
      <w:lvlText w:val="%1——"/>
      <w:lvlJc w:val="left"/>
      <w:pPr>
        <w:ind w:left="833" w:hanging="408"/>
      </w:pPr>
      <w:rPr>
        <w:rFonts w:hint="eastAsia"/>
      </w:rPr>
    </w:lvl>
    <w:lvl w:ilvl="1" w:tentative="0">
      <w:start w:val="1"/>
      <w:numFmt w:val="bullet"/>
      <w:pStyle w:val="123"/>
      <w:lvlText w:val=""/>
      <w:lvlJc w:val="left"/>
      <w:pPr>
        <w:tabs>
          <w:tab w:val="left" w:pos="760"/>
        </w:tabs>
        <w:ind w:left="1264" w:hanging="413"/>
      </w:pPr>
      <w:rPr>
        <w:rFonts w:hint="default" w:ascii="Symbol" w:hAnsi="Symbol"/>
        <w:color w:val="auto"/>
      </w:rPr>
    </w:lvl>
    <w:lvl w:ilvl="2" w:tentative="0">
      <w:start w:val="1"/>
      <w:numFmt w:val="bullet"/>
      <w:pStyle w:val="18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39F2B65"/>
    <w:multiLevelType w:val="multilevel"/>
    <w:tmpl w:val="339F2B65"/>
    <w:lvl w:ilvl="0" w:tentative="0">
      <w:start w:val="1"/>
      <w:numFmt w:val="chineseCountingThousand"/>
      <w:pStyle w:val="3"/>
      <w:suff w:val="nothing"/>
      <w:lvlText w:val="%1、"/>
      <w:lvlJc w:val="left"/>
      <w:pPr>
        <w:ind w:left="432" w:hanging="432"/>
      </w:pPr>
      <w:rPr>
        <w:rFonts w:hint="eastAsia"/>
      </w:rPr>
    </w:lvl>
    <w:lvl w:ilvl="1" w:tentative="0">
      <w:start w:val="1"/>
      <w:numFmt w:val="chineseCountingThousand"/>
      <w:pStyle w:val="4"/>
      <w:suff w:val="nothing"/>
      <w:lvlText w:val="（%2）"/>
      <w:lvlJc w:val="left"/>
      <w:pPr>
        <w:ind w:left="1144" w:hanging="1144"/>
      </w:pPr>
      <w:rPr>
        <w:rFonts w:hint="eastAsia"/>
      </w:rPr>
    </w:lvl>
    <w:lvl w:ilvl="2" w:tentative="0">
      <w:start w:val="1"/>
      <w:numFmt w:val="decimal"/>
      <w:pStyle w:val="5"/>
      <w:suff w:val="space"/>
      <w:lvlText w:val="%3"/>
      <w:lvlJc w:val="left"/>
      <w:pPr>
        <w:ind w:left="720" w:hanging="720"/>
      </w:pPr>
      <w:rPr>
        <w:rFonts w:hint="eastAsia"/>
      </w:rPr>
    </w:lvl>
    <w:lvl w:ilvl="3" w:tentative="0">
      <w:start w:val="1"/>
      <w:numFmt w:val="decimal"/>
      <w:pStyle w:val="6"/>
      <w:suff w:val="space"/>
      <w:lvlText w:val="%3.%4"/>
      <w:lvlJc w:val="left"/>
      <w:pPr>
        <w:ind w:left="864" w:hanging="864"/>
      </w:pPr>
      <w:rPr>
        <w:rFonts w:hint="eastAsia"/>
      </w:rPr>
    </w:lvl>
    <w:lvl w:ilvl="4" w:tentative="0">
      <w:start w:val="1"/>
      <w:numFmt w:val="decimal"/>
      <w:pStyle w:val="7"/>
      <w:suff w:val="space"/>
      <w:lvlText w:val="%3.%4.%5"/>
      <w:lvlJc w:val="left"/>
      <w:pPr>
        <w:ind w:left="1008" w:hanging="1008"/>
      </w:pPr>
      <w:rPr>
        <w:rFonts w:hint="eastAsia"/>
      </w:rPr>
    </w:lvl>
    <w:lvl w:ilvl="5" w:tentative="0">
      <w:start w:val="1"/>
      <w:numFmt w:val="decimal"/>
      <w:pStyle w:val="8"/>
      <w:suff w:val="space"/>
      <w:lvlText w:val="%3.%4.%5.%6"/>
      <w:lvlJc w:val="left"/>
      <w:pPr>
        <w:ind w:left="1152" w:hanging="1152"/>
      </w:pPr>
      <w:rPr>
        <w:rFonts w:hint="eastAsia"/>
      </w:rPr>
    </w:lvl>
    <w:lvl w:ilvl="6" w:tentative="0">
      <w:start w:val="1"/>
      <w:numFmt w:val="decimal"/>
      <w:pStyle w:val="9"/>
      <w:suff w:val="space"/>
      <w:lvlText w:val="%3.%4.%5.%6.%7"/>
      <w:lvlJc w:val="left"/>
      <w:pPr>
        <w:ind w:left="1296" w:hanging="1296"/>
      </w:pPr>
      <w:rPr>
        <w:rFonts w:hint="eastAsia"/>
      </w:rPr>
    </w:lvl>
    <w:lvl w:ilvl="7" w:tentative="0">
      <w:start w:val="1"/>
      <w:numFmt w:val="decimal"/>
      <w:pStyle w:val="10"/>
      <w:suff w:val="space"/>
      <w:lvlText w:val="%3.%4.%5.%6.%7.%8"/>
      <w:lvlJc w:val="left"/>
      <w:pPr>
        <w:ind w:left="1440" w:hanging="1440"/>
      </w:pPr>
      <w:rPr>
        <w:rFonts w:hint="eastAsia"/>
      </w:rPr>
    </w:lvl>
    <w:lvl w:ilvl="8" w:tentative="0">
      <w:start w:val="1"/>
      <w:numFmt w:val="decimal"/>
      <w:pStyle w:val="11"/>
      <w:suff w:val="space"/>
      <w:lvlText w:val="%3.%4.%5.%6.%7.%8.%9"/>
      <w:lvlJc w:val="left"/>
      <w:pPr>
        <w:ind w:left="1584" w:hanging="1584"/>
      </w:pPr>
      <w:rPr>
        <w:rFonts w:hint="eastAsia"/>
      </w:rPr>
    </w:lvl>
  </w:abstractNum>
  <w:abstractNum w:abstractNumId="11">
    <w:nsid w:val="3D733618"/>
    <w:multiLevelType w:val="multilevel"/>
    <w:tmpl w:val="3D733618"/>
    <w:lvl w:ilvl="0" w:tentative="0">
      <w:start w:val="1"/>
      <w:numFmt w:val="decimal"/>
      <w:pStyle w:val="3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9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8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19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54050508"/>
    <w:multiLevelType w:val="multilevel"/>
    <w:tmpl w:val="54050508"/>
    <w:lvl w:ilvl="0" w:tentative="0">
      <w:start w:val="1"/>
      <w:numFmt w:val="decimal"/>
      <w:pStyle w:val="78"/>
      <w:lvlText w:val="%1)"/>
      <w:lvlJc w:val="left"/>
      <w:pPr>
        <w:ind w:left="836" w:hanging="360"/>
      </w:pPr>
      <w:rPr>
        <w:rFonts w:ascii="Times New Roman" w:hAnsi="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2"/>
      <w:numFmt w:val="decimalEnclosedCircle"/>
      <w:lvlText w:val="%2"/>
      <w:lvlJc w:val="left"/>
      <w:pPr>
        <w:ind w:left="1490" w:hanging="360"/>
      </w:pPr>
      <w:rPr>
        <w:rFonts w:hint="default"/>
      </w:rPr>
    </w:lvl>
    <w:lvl w:ilvl="2" w:tentative="0">
      <w:start w:val="1"/>
      <w:numFmt w:val="lowerRoman"/>
      <w:lvlText w:val="%3."/>
      <w:lvlJc w:val="right"/>
      <w:pPr>
        <w:ind w:left="2210" w:hanging="180"/>
      </w:pPr>
    </w:lvl>
    <w:lvl w:ilvl="3" w:tentative="0">
      <w:start w:val="1"/>
      <w:numFmt w:val="decimal"/>
      <w:lvlText w:val="%4."/>
      <w:lvlJc w:val="left"/>
      <w:pPr>
        <w:ind w:left="2930" w:hanging="360"/>
      </w:pPr>
    </w:lvl>
    <w:lvl w:ilvl="4" w:tentative="0">
      <w:start w:val="1"/>
      <w:numFmt w:val="lowerLetter"/>
      <w:lvlText w:val="%5."/>
      <w:lvlJc w:val="left"/>
      <w:pPr>
        <w:ind w:left="3650" w:hanging="360"/>
      </w:pPr>
    </w:lvl>
    <w:lvl w:ilvl="5" w:tentative="0">
      <w:start w:val="1"/>
      <w:numFmt w:val="lowerRoman"/>
      <w:lvlText w:val="%6."/>
      <w:lvlJc w:val="right"/>
      <w:pPr>
        <w:ind w:left="4370" w:hanging="180"/>
      </w:pPr>
    </w:lvl>
    <w:lvl w:ilvl="6" w:tentative="0">
      <w:start w:val="1"/>
      <w:numFmt w:val="decimal"/>
      <w:lvlText w:val="%7."/>
      <w:lvlJc w:val="left"/>
      <w:pPr>
        <w:ind w:left="5090" w:hanging="360"/>
      </w:pPr>
    </w:lvl>
    <w:lvl w:ilvl="7" w:tentative="0">
      <w:start w:val="1"/>
      <w:numFmt w:val="lowerLetter"/>
      <w:lvlText w:val="%8."/>
      <w:lvlJc w:val="left"/>
      <w:pPr>
        <w:ind w:left="5810" w:hanging="360"/>
      </w:pPr>
    </w:lvl>
    <w:lvl w:ilvl="8" w:tentative="0">
      <w:start w:val="1"/>
      <w:numFmt w:val="lowerRoman"/>
      <w:lvlText w:val="%9."/>
      <w:lvlJc w:val="right"/>
      <w:pPr>
        <w:ind w:left="6530" w:hanging="180"/>
      </w:pPr>
    </w:lvl>
  </w:abstractNum>
  <w:abstractNum w:abstractNumId="15">
    <w:nsid w:val="60B55DC2"/>
    <w:multiLevelType w:val="multilevel"/>
    <w:tmpl w:val="60B55DC2"/>
    <w:lvl w:ilvl="0" w:tentative="0">
      <w:start w:val="1"/>
      <w:numFmt w:val="upperLetter"/>
      <w:pStyle w:val="183"/>
      <w:lvlText w:val="%1"/>
      <w:lvlJc w:val="left"/>
      <w:pPr>
        <w:tabs>
          <w:tab w:val="left" w:pos="0"/>
        </w:tabs>
        <w:ind w:left="0" w:hanging="425"/>
      </w:pPr>
      <w:rPr>
        <w:rFonts w:hint="eastAsia"/>
      </w:rPr>
    </w:lvl>
    <w:lvl w:ilvl="1" w:tentative="0">
      <w:start w:val="1"/>
      <w:numFmt w:val="decimal"/>
      <w:pStyle w:val="21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244"/>
      <w:suff w:val="nothing"/>
      <w:lvlText w:val="表%1　"/>
      <w:lvlJc w:val="left"/>
      <w:pPr>
        <w:ind w:left="4253" w:firstLine="0"/>
      </w:pPr>
      <w:rPr>
        <w:rFonts w:hint="eastAsia" w:ascii="黑体" w:hAnsi="Times New Roman" w:eastAsia="黑体"/>
        <w:b w:val="0"/>
        <w:i w:val="0"/>
        <w:sz w:val="21"/>
        <w:lang w:val="en-US"/>
      </w:rPr>
    </w:lvl>
    <w:lvl w:ilvl="1" w:tentative="0">
      <w:start w:val="1"/>
      <w:numFmt w:val="decimal"/>
      <w:lvlText w:val="%1.%2"/>
      <w:lvlJc w:val="left"/>
      <w:pPr>
        <w:tabs>
          <w:tab w:val="left" w:pos="5245"/>
        </w:tabs>
        <w:ind w:left="5245" w:hanging="567"/>
      </w:pPr>
      <w:rPr>
        <w:rFonts w:hint="eastAsia"/>
      </w:rPr>
    </w:lvl>
    <w:lvl w:ilvl="2" w:tentative="0">
      <w:start w:val="1"/>
      <w:numFmt w:val="decimal"/>
      <w:lvlText w:val="%1.%2.%3"/>
      <w:lvlJc w:val="left"/>
      <w:pPr>
        <w:tabs>
          <w:tab w:val="left" w:pos="5671"/>
        </w:tabs>
        <w:ind w:left="5671" w:hanging="567"/>
      </w:pPr>
      <w:rPr>
        <w:rFonts w:hint="eastAsia"/>
      </w:rPr>
    </w:lvl>
    <w:lvl w:ilvl="3" w:tentative="0">
      <w:start w:val="1"/>
      <w:numFmt w:val="decimal"/>
      <w:lvlText w:val="%1.%2.%3.%4"/>
      <w:lvlJc w:val="left"/>
      <w:pPr>
        <w:tabs>
          <w:tab w:val="left" w:pos="6237"/>
        </w:tabs>
        <w:ind w:left="6237" w:hanging="708"/>
      </w:pPr>
      <w:rPr>
        <w:rFonts w:hint="eastAsia"/>
      </w:rPr>
    </w:lvl>
    <w:lvl w:ilvl="4" w:tentative="0">
      <w:start w:val="1"/>
      <w:numFmt w:val="decimal"/>
      <w:lvlText w:val="%1.%2.%3.%4.%5"/>
      <w:lvlJc w:val="left"/>
      <w:pPr>
        <w:tabs>
          <w:tab w:val="left" w:pos="6804"/>
        </w:tabs>
        <w:ind w:left="6804" w:hanging="850"/>
      </w:pPr>
      <w:rPr>
        <w:rFonts w:hint="eastAsia"/>
      </w:rPr>
    </w:lvl>
    <w:lvl w:ilvl="5" w:tentative="0">
      <w:start w:val="1"/>
      <w:numFmt w:val="decimal"/>
      <w:lvlText w:val="%1.%2.%3.%4.%5.%6"/>
      <w:lvlJc w:val="left"/>
      <w:pPr>
        <w:tabs>
          <w:tab w:val="left" w:pos="7513"/>
        </w:tabs>
        <w:ind w:left="7513" w:hanging="1134"/>
      </w:pPr>
      <w:rPr>
        <w:rFonts w:hint="eastAsia"/>
      </w:rPr>
    </w:lvl>
    <w:lvl w:ilvl="6" w:tentative="0">
      <w:start w:val="1"/>
      <w:numFmt w:val="decimal"/>
      <w:lvlText w:val="%1.%2.%3.%4.%5.%6.%7"/>
      <w:lvlJc w:val="left"/>
      <w:pPr>
        <w:tabs>
          <w:tab w:val="left" w:pos="8080"/>
        </w:tabs>
        <w:ind w:left="8080" w:hanging="1276"/>
      </w:pPr>
      <w:rPr>
        <w:rFonts w:hint="eastAsia"/>
      </w:rPr>
    </w:lvl>
    <w:lvl w:ilvl="7" w:tentative="0">
      <w:start w:val="1"/>
      <w:numFmt w:val="decimal"/>
      <w:lvlText w:val="%1.%2.%3.%4.%5.%6.%7.%8"/>
      <w:lvlJc w:val="left"/>
      <w:pPr>
        <w:tabs>
          <w:tab w:val="left" w:pos="8647"/>
        </w:tabs>
        <w:ind w:left="8647" w:hanging="1418"/>
      </w:pPr>
      <w:rPr>
        <w:rFonts w:hint="eastAsia"/>
      </w:rPr>
    </w:lvl>
    <w:lvl w:ilvl="8" w:tentative="0">
      <w:start w:val="1"/>
      <w:numFmt w:val="decimal"/>
      <w:lvlText w:val="%1.%2.%3.%4.%5.%6.%7.%8.%9"/>
      <w:lvlJc w:val="left"/>
      <w:pPr>
        <w:tabs>
          <w:tab w:val="left" w:pos="9355"/>
        </w:tabs>
        <w:ind w:left="9355" w:hanging="1700"/>
      </w:pPr>
      <w:rPr>
        <w:rFonts w:hint="eastAsia"/>
      </w:rPr>
    </w:lvl>
  </w:abstractNum>
  <w:abstractNum w:abstractNumId="17">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2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28"/>
      <w:suff w:val="nothing"/>
      <w:lvlText w:val="%1.%2.%3　"/>
      <w:lvlJc w:val="left"/>
      <w:pPr>
        <w:ind w:left="0" w:firstLine="0"/>
      </w:pPr>
      <w:rPr>
        <w:rFonts w:hint="eastAsia" w:ascii="黑体" w:hAnsi="Times New Roman" w:eastAsia="黑体"/>
        <w:b w:val="0"/>
        <w:i w:val="0"/>
        <w:sz w:val="21"/>
      </w:rPr>
    </w:lvl>
    <w:lvl w:ilvl="3" w:tentative="0">
      <w:start w:val="1"/>
      <w:numFmt w:val="decimal"/>
      <w:pStyle w:val="112"/>
      <w:suff w:val="nothing"/>
      <w:lvlText w:val="%1.%2.%3.%4　"/>
      <w:lvlJc w:val="left"/>
      <w:pPr>
        <w:ind w:left="0" w:firstLine="0"/>
      </w:pPr>
      <w:rPr>
        <w:rFonts w:hint="eastAsia" w:ascii="黑体" w:hAnsi="Times New Roman" w:eastAsia="黑体"/>
        <w:b w:val="0"/>
        <w:i w:val="0"/>
        <w:sz w:val="21"/>
      </w:rPr>
    </w:lvl>
    <w:lvl w:ilvl="4" w:tentative="0">
      <w:start w:val="1"/>
      <w:numFmt w:val="decimal"/>
      <w:pStyle w:val="111"/>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D6C07CD"/>
    <w:multiLevelType w:val="multilevel"/>
    <w:tmpl w:val="6D6C07CD"/>
    <w:lvl w:ilvl="0" w:tentative="0">
      <w:start w:val="1"/>
      <w:numFmt w:val="lowerLetter"/>
      <w:pStyle w:val="169"/>
      <w:lvlText w:val="%1)"/>
      <w:lvlJc w:val="left"/>
      <w:pPr>
        <w:tabs>
          <w:tab w:val="left" w:pos="839"/>
        </w:tabs>
        <w:ind w:left="839" w:hanging="419"/>
      </w:pPr>
      <w:rPr>
        <w:rFonts w:hint="eastAsia" w:ascii="宋体" w:eastAsia="宋体"/>
        <w:b w:val="0"/>
        <w:i w:val="0"/>
        <w:sz w:val="21"/>
      </w:rPr>
    </w:lvl>
    <w:lvl w:ilvl="1" w:tentative="0">
      <w:start w:val="1"/>
      <w:numFmt w:val="decimal"/>
      <w:pStyle w:val="22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9">
    <w:nsid w:val="6DBF04F4"/>
    <w:multiLevelType w:val="multilevel"/>
    <w:tmpl w:val="6DBF04F4"/>
    <w:lvl w:ilvl="0" w:tentative="0">
      <w:start w:val="1"/>
      <w:numFmt w:val="none"/>
      <w:pStyle w:val="8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0">
    <w:nsid w:val="6EDD7203"/>
    <w:multiLevelType w:val="multilevel"/>
    <w:tmpl w:val="6EDD7203"/>
    <w:lvl w:ilvl="0" w:tentative="0">
      <w:start w:val="1"/>
      <w:numFmt w:val="upperLetter"/>
      <w:pStyle w:val="278"/>
      <w:suff w:val="nothing"/>
      <w:lvlText w:val="附　录　%1"/>
      <w:lvlJc w:val="left"/>
      <w:pPr>
        <w:ind w:left="4536"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4536"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536" w:firstLine="0"/>
      </w:pPr>
      <w:rPr>
        <w:rFonts w:hint="eastAsia" w:ascii="黑体" w:hAnsi="Times New Roman" w:eastAsia="黑体"/>
        <w:b w:val="0"/>
        <w:i w:val="0"/>
        <w:sz w:val="21"/>
      </w:rPr>
    </w:lvl>
    <w:lvl w:ilvl="3" w:tentative="0">
      <w:start w:val="1"/>
      <w:numFmt w:val="decimal"/>
      <w:suff w:val="nothing"/>
      <w:lvlText w:val="%1.%2.%3.%4　"/>
      <w:lvlJc w:val="left"/>
      <w:pPr>
        <w:ind w:left="4536" w:firstLine="0"/>
      </w:pPr>
      <w:rPr>
        <w:rFonts w:hint="eastAsia" w:ascii="黑体" w:hAnsi="Times New Roman" w:eastAsia="黑体"/>
        <w:b w:val="0"/>
        <w:i w:val="0"/>
        <w:sz w:val="21"/>
      </w:rPr>
    </w:lvl>
    <w:lvl w:ilvl="4" w:tentative="0">
      <w:start w:val="1"/>
      <w:numFmt w:val="decimal"/>
      <w:suff w:val="nothing"/>
      <w:lvlText w:val="%1.%2.%3.%4.%5　"/>
      <w:lvlJc w:val="left"/>
      <w:pPr>
        <w:ind w:left="4536" w:firstLine="0"/>
      </w:pPr>
      <w:rPr>
        <w:rFonts w:hint="eastAsia" w:ascii="黑体" w:hAnsi="Times New Roman" w:eastAsia="黑体"/>
        <w:b w:val="0"/>
        <w:i w:val="0"/>
        <w:sz w:val="21"/>
      </w:rPr>
    </w:lvl>
    <w:lvl w:ilvl="5" w:tentative="0">
      <w:start w:val="1"/>
      <w:numFmt w:val="decimal"/>
      <w:suff w:val="nothing"/>
      <w:lvlText w:val="%1.%2.%3.%4.%5.%6　"/>
      <w:lvlJc w:val="left"/>
      <w:pPr>
        <w:ind w:left="4536" w:firstLine="0"/>
      </w:pPr>
      <w:rPr>
        <w:rFonts w:hint="eastAsia" w:ascii="黑体" w:hAnsi="Times New Roman" w:eastAsia="黑体"/>
        <w:b w:val="0"/>
        <w:i w:val="0"/>
        <w:sz w:val="21"/>
      </w:rPr>
    </w:lvl>
    <w:lvl w:ilvl="6" w:tentative="0">
      <w:start w:val="1"/>
      <w:numFmt w:val="decimal"/>
      <w:suff w:val="nothing"/>
      <w:lvlText w:val="%1.%2.%3.%4.%5.%6.%7　"/>
      <w:lvlJc w:val="left"/>
      <w:pPr>
        <w:ind w:left="4536" w:firstLine="0"/>
      </w:pPr>
      <w:rPr>
        <w:rFonts w:hint="eastAsia" w:ascii="黑体" w:hAnsi="Times New Roman" w:eastAsia="黑体"/>
        <w:b w:val="0"/>
        <w:i w:val="0"/>
        <w:sz w:val="21"/>
      </w:rPr>
    </w:lvl>
    <w:lvl w:ilvl="7" w:tentative="0">
      <w:start w:val="1"/>
      <w:numFmt w:val="decimal"/>
      <w:lvlText w:val="%1.%2.%3.%4.%5.%6.%7.%8"/>
      <w:lvlJc w:val="left"/>
      <w:pPr>
        <w:tabs>
          <w:tab w:val="left" w:pos="8930"/>
        </w:tabs>
        <w:ind w:left="8930" w:hanging="1418"/>
      </w:pPr>
      <w:rPr>
        <w:rFonts w:hint="eastAsia"/>
      </w:rPr>
    </w:lvl>
    <w:lvl w:ilvl="8" w:tentative="0">
      <w:start w:val="1"/>
      <w:numFmt w:val="decimal"/>
      <w:lvlText w:val="%1.%2.%3.%4.%5.%6.%7.%8.%9"/>
      <w:lvlJc w:val="left"/>
      <w:pPr>
        <w:tabs>
          <w:tab w:val="left" w:pos="9638"/>
        </w:tabs>
        <w:ind w:left="9638" w:hanging="1700"/>
      </w:pPr>
      <w:rPr>
        <w:rFonts w:hint="eastAsia"/>
      </w:rPr>
    </w:lvl>
  </w:abstractNum>
  <w:num w:numId="1">
    <w:abstractNumId w:val="10"/>
  </w:num>
  <w:num w:numId="2">
    <w:abstractNumId w:val="11"/>
  </w:num>
  <w:num w:numId="3">
    <w:abstractNumId w:val="6"/>
  </w:num>
  <w:num w:numId="4">
    <w:abstractNumId w:val="14"/>
  </w:num>
  <w:num w:numId="5">
    <w:abstractNumId w:val="19"/>
  </w:num>
  <w:num w:numId="6">
    <w:abstractNumId w:val="1"/>
  </w:num>
  <w:num w:numId="7">
    <w:abstractNumId w:val="12"/>
  </w:num>
  <w:num w:numId="8">
    <w:abstractNumId w:val="5"/>
  </w:num>
  <w:num w:numId="9">
    <w:abstractNumId w:val="17"/>
  </w:num>
  <w:num w:numId="10">
    <w:abstractNumId w:val="9"/>
  </w:num>
  <w:num w:numId="11">
    <w:abstractNumId w:val="2"/>
  </w:num>
  <w:num w:numId="12">
    <w:abstractNumId w:val="7"/>
  </w:num>
  <w:num w:numId="13">
    <w:abstractNumId w:val="18"/>
  </w:num>
  <w:num w:numId="14">
    <w:abstractNumId w:val="15"/>
  </w:num>
  <w:num w:numId="15">
    <w:abstractNumId w:val="0"/>
  </w:num>
  <w:num w:numId="16">
    <w:abstractNumId w:val="13"/>
  </w:num>
  <w:num w:numId="17">
    <w:abstractNumId w:val="8"/>
  </w:num>
  <w:num w:numId="18">
    <w:abstractNumId w:val="4"/>
  </w:num>
  <w:num w:numId="19">
    <w:abstractNumId w:val="16"/>
  </w:num>
  <w:num w:numId="20">
    <w:abstractNumId w:val="3"/>
  </w:num>
  <w:num w:numId="21">
    <w:abstractNumId w:val="2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DQ0Nrc0M7EwMbI0NjFX0lEKTi0uzszPAykwqQUA/ygsdywAAAA="/>
    <w:docVar w:name="commondata" w:val="eyJoZGlkIjoiNzVlZDFjOTAwZTNlZjgwZmZlNDFhOTc2YTNmOTZlZjgifQ=="/>
  </w:docVars>
  <w:rsids>
    <w:rsidRoot w:val="00035925"/>
    <w:rsid w:val="00000244"/>
    <w:rsid w:val="0000185F"/>
    <w:rsid w:val="0000490D"/>
    <w:rsid w:val="00004BE5"/>
    <w:rsid w:val="0000586F"/>
    <w:rsid w:val="000061F5"/>
    <w:rsid w:val="00006C41"/>
    <w:rsid w:val="00007E30"/>
    <w:rsid w:val="000100AC"/>
    <w:rsid w:val="0001180F"/>
    <w:rsid w:val="00012412"/>
    <w:rsid w:val="00012442"/>
    <w:rsid w:val="0001278F"/>
    <w:rsid w:val="000128CE"/>
    <w:rsid w:val="00012D5C"/>
    <w:rsid w:val="000138EE"/>
    <w:rsid w:val="00013D86"/>
    <w:rsid w:val="00013E02"/>
    <w:rsid w:val="00014B34"/>
    <w:rsid w:val="000159D3"/>
    <w:rsid w:val="000162BB"/>
    <w:rsid w:val="0001705F"/>
    <w:rsid w:val="0002143C"/>
    <w:rsid w:val="00023FF8"/>
    <w:rsid w:val="00025A65"/>
    <w:rsid w:val="000268C0"/>
    <w:rsid w:val="00026C31"/>
    <w:rsid w:val="000270A3"/>
    <w:rsid w:val="00027280"/>
    <w:rsid w:val="00027971"/>
    <w:rsid w:val="000303C3"/>
    <w:rsid w:val="000320A7"/>
    <w:rsid w:val="0003226B"/>
    <w:rsid w:val="000326A0"/>
    <w:rsid w:val="000331CE"/>
    <w:rsid w:val="0003339E"/>
    <w:rsid w:val="00035925"/>
    <w:rsid w:val="000365DF"/>
    <w:rsid w:val="00036DF6"/>
    <w:rsid w:val="000370FF"/>
    <w:rsid w:val="00040DBC"/>
    <w:rsid w:val="00041281"/>
    <w:rsid w:val="000437D8"/>
    <w:rsid w:val="0004446E"/>
    <w:rsid w:val="00044BFB"/>
    <w:rsid w:val="00046837"/>
    <w:rsid w:val="00047DC6"/>
    <w:rsid w:val="000506FC"/>
    <w:rsid w:val="000508BE"/>
    <w:rsid w:val="00050F21"/>
    <w:rsid w:val="000511D7"/>
    <w:rsid w:val="00053ECA"/>
    <w:rsid w:val="00055E37"/>
    <w:rsid w:val="00057DC8"/>
    <w:rsid w:val="00060882"/>
    <w:rsid w:val="00061210"/>
    <w:rsid w:val="00061B2E"/>
    <w:rsid w:val="00062B75"/>
    <w:rsid w:val="000642B7"/>
    <w:rsid w:val="0006547F"/>
    <w:rsid w:val="00067CDF"/>
    <w:rsid w:val="00070542"/>
    <w:rsid w:val="00071752"/>
    <w:rsid w:val="00071C75"/>
    <w:rsid w:val="00071F61"/>
    <w:rsid w:val="0007262A"/>
    <w:rsid w:val="000733D4"/>
    <w:rsid w:val="00074FBE"/>
    <w:rsid w:val="00075AAF"/>
    <w:rsid w:val="00075F8B"/>
    <w:rsid w:val="00076AA9"/>
    <w:rsid w:val="000828B9"/>
    <w:rsid w:val="00082B60"/>
    <w:rsid w:val="00083A09"/>
    <w:rsid w:val="000854EA"/>
    <w:rsid w:val="000863CF"/>
    <w:rsid w:val="00086DAE"/>
    <w:rsid w:val="0009005E"/>
    <w:rsid w:val="00092857"/>
    <w:rsid w:val="000934CC"/>
    <w:rsid w:val="000936DC"/>
    <w:rsid w:val="00093935"/>
    <w:rsid w:val="000951E5"/>
    <w:rsid w:val="000953FF"/>
    <w:rsid w:val="00096A4E"/>
    <w:rsid w:val="0009737E"/>
    <w:rsid w:val="00097970"/>
    <w:rsid w:val="000A0999"/>
    <w:rsid w:val="000A0A02"/>
    <w:rsid w:val="000A20A9"/>
    <w:rsid w:val="000A3100"/>
    <w:rsid w:val="000A3687"/>
    <w:rsid w:val="000A3FB4"/>
    <w:rsid w:val="000A48B1"/>
    <w:rsid w:val="000A4F9D"/>
    <w:rsid w:val="000A5814"/>
    <w:rsid w:val="000A6521"/>
    <w:rsid w:val="000A7300"/>
    <w:rsid w:val="000A7313"/>
    <w:rsid w:val="000B04DC"/>
    <w:rsid w:val="000B0E19"/>
    <w:rsid w:val="000B1022"/>
    <w:rsid w:val="000B19F9"/>
    <w:rsid w:val="000B3143"/>
    <w:rsid w:val="000B41B3"/>
    <w:rsid w:val="000B4294"/>
    <w:rsid w:val="000B4DF1"/>
    <w:rsid w:val="000B5C0C"/>
    <w:rsid w:val="000B7893"/>
    <w:rsid w:val="000C0B0C"/>
    <w:rsid w:val="000C1F25"/>
    <w:rsid w:val="000C44BF"/>
    <w:rsid w:val="000C49B9"/>
    <w:rsid w:val="000C4F34"/>
    <w:rsid w:val="000C5D58"/>
    <w:rsid w:val="000C6B05"/>
    <w:rsid w:val="000C6DD6"/>
    <w:rsid w:val="000C6E4F"/>
    <w:rsid w:val="000C73D4"/>
    <w:rsid w:val="000D01AF"/>
    <w:rsid w:val="000D145B"/>
    <w:rsid w:val="000D1A40"/>
    <w:rsid w:val="000D2CF3"/>
    <w:rsid w:val="000D395A"/>
    <w:rsid w:val="000D3C00"/>
    <w:rsid w:val="000D3D4C"/>
    <w:rsid w:val="000D4143"/>
    <w:rsid w:val="000D4283"/>
    <w:rsid w:val="000D4913"/>
    <w:rsid w:val="000D4EF2"/>
    <w:rsid w:val="000D4F51"/>
    <w:rsid w:val="000D4F5F"/>
    <w:rsid w:val="000D5AF7"/>
    <w:rsid w:val="000D718B"/>
    <w:rsid w:val="000E044A"/>
    <w:rsid w:val="000E0536"/>
    <w:rsid w:val="000E06E6"/>
    <w:rsid w:val="000E0C46"/>
    <w:rsid w:val="000E0CF0"/>
    <w:rsid w:val="000E3C4A"/>
    <w:rsid w:val="000E5465"/>
    <w:rsid w:val="000E55B1"/>
    <w:rsid w:val="000E6AD8"/>
    <w:rsid w:val="000E75B9"/>
    <w:rsid w:val="000F030C"/>
    <w:rsid w:val="000F129C"/>
    <w:rsid w:val="000F23D7"/>
    <w:rsid w:val="000F2914"/>
    <w:rsid w:val="000F38B8"/>
    <w:rsid w:val="000F568D"/>
    <w:rsid w:val="000F5F71"/>
    <w:rsid w:val="000F649A"/>
    <w:rsid w:val="00101580"/>
    <w:rsid w:val="0010165E"/>
    <w:rsid w:val="00101F6E"/>
    <w:rsid w:val="00102DA3"/>
    <w:rsid w:val="00102DD2"/>
    <w:rsid w:val="001035F3"/>
    <w:rsid w:val="001038F6"/>
    <w:rsid w:val="001056DE"/>
    <w:rsid w:val="001056E7"/>
    <w:rsid w:val="0010581B"/>
    <w:rsid w:val="00106E25"/>
    <w:rsid w:val="0010715D"/>
    <w:rsid w:val="00107799"/>
    <w:rsid w:val="00110596"/>
    <w:rsid w:val="00110A1E"/>
    <w:rsid w:val="0011171C"/>
    <w:rsid w:val="001124C0"/>
    <w:rsid w:val="0011460D"/>
    <w:rsid w:val="00114F89"/>
    <w:rsid w:val="0011546C"/>
    <w:rsid w:val="001155C3"/>
    <w:rsid w:val="001155E3"/>
    <w:rsid w:val="00116230"/>
    <w:rsid w:val="0012166F"/>
    <w:rsid w:val="00122612"/>
    <w:rsid w:val="00122684"/>
    <w:rsid w:val="001226F1"/>
    <w:rsid w:val="0012397B"/>
    <w:rsid w:val="00123BBA"/>
    <w:rsid w:val="001244FF"/>
    <w:rsid w:val="00126CEE"/>
    <w:rsid w:val="00127831"/>
    <w:rsid w:val="0013175F"/>
    <w:rsid w:val="001324EF"/>
    <w:rsid w:val="00133112"/>
    <w:rsid w:val="00133F6E"/>
    <w:rsid w:val="0013605B"/>
    <w:rsid w:val="00136806"/>
    <w:rsid w:val="00136A5D"/>
    <w:rsid w:val="00144D7A"/>
    <w:rsid w:val="00145B75"/>
    <w:rsid w:val="00146543"/>
    <w:rsid w:val="001465BF"/>
    <w:rsid w:val="0014740C"/>
    <w:rsid w:val="0015009E"/>
    <w:rsid w:val="001512B4"/>
    <w:rsid w:val="0015294D"/>
    <w:rsid w:val="00152BB6"/>
    <w:rsid w:val="001538D4"/>
    <w:rsid w:val="001553B2"/>
    <w:rsid w:val="0015604F"/>
    <w:rsid w:val="00156115"/>
    <w:rsid w:val="00156272"/>
    <w:rsid w:val="00156DB4"/>
    <w:rsid w:val="00157792"/>
    <w:rsid w:val="001608A2"/>
    <w:rsid w:val="00161B5D"/>
    <w:rsid w:val="001620A5"/>
    <w:rsid w:val="00164E53"/>
    <w:rsid w:val="00165498"/>
    <w:rsid w:val="00166967"/>
    <w:rsid w:val="0016699D"/>
    <w:rsid w:val="001730BE"/>
    <w:rsid w:val="00173230"/>
    <w:rsid w:val="0017360D"/>
    <w:rsid w:val="00173DA8"/>
    <w:rsid w:val="00175159"/>
    <w:rsid w:val="00176208"/>
    <w:rsid w:val="00177F50"/>
    <w:rsid w:val="00181EA7"/>
    <w:rsid w:val="0018211B"/>
    <w:rsid w:val="0018299F"/>
    <w:rsid w:val="001840D3"/>
    <w:rsid w:val="00184866"/>
    <w:rsid w:val="00184890"/>
    <w:rsid w:val="00185E8F"/>
    <w:rsid w:val="001900F8"/>
    <w:rsid w:val="00190BB6"/>
    <w:rsid w:val="00190DA0"/>
    <w:rsid w:val="00191258"/>
    <w:rsid w:val="00191259"/>
    <w:rsid w:val="0019161B"/>
    <w:rsid w:val="00192680"/>
    <w:rsid w:val="00193037"/>
    <w:rsid w:val="001938E6"/>
    <w:rsid w:val="00193A2C"/>
    <w:rsid w:val="001945AC"/>
    <w:rsid w:val="001971D9"/>
    <w:rsid w:val="00197319"/>
    <w:rsid w:val="001973D9"/>
    <w:rsid w:val="00197FB6"/>
    <w:rsid w:val="001A1018"/>
    <w:rsid w:val="001A2203"/>
    <w:rsid w:val="001A288E"/>
    <w:rsid w:val="001A55DB"/>
    <w:rsid w:val="001A5A97"/>
    <w:rsid w:val="001A5D37"/>
    <w:rsid w:val="001A63B2"/>
    <w:rsid w:val="001A6AE4"/>
    <w:rsid w:val="001A7361"/>
    <w:rsid w:val="001A7CD6"/>
    <w:rsid w:val="001B12F0"/>
    <w:rsid w:val="001B2021"/>
    <w:rsid w:val="001B35A9"/>
    <w:rsid w:val="001B3620"/>
    <w:rsid w:val="001B3D73"/>
    <w:rsid w:val="001B41E0"/>
    <w:rsid w:val="001B48B4"/>
    <w:rsid w:val="001B64A9"/>
    <w:rsid w:val="001B6DC2"/>
    <w:rsid w:val="001B7041"/>
    <w:rsid w:val="001B7264"/>
    <w:rsid w:val="001B7D95"/>
    <w:rsid w:val="001C0836"/>
    <w:rsid w:val="001C0C24"/>
    <w:rsid w:val="001C149C"/>
    <w:rsid w:val="001C21AC"/>
    <w:rsid w:val="001C47BA"/>
    <w:rsid w:val="001C4EE4"/>
    <w:rsid w:val="001C4F10"/>
    <w:rsid w:val="001C5353"/>
    <w:rsid w:val="001C59EA"/>
    <w:rsid w:val="001C677E"/>
    <w:rsid w:val="001C6B03"/>
    <w:rsid w:val="001D04A4"/>
    <w:rsid w:val="001D081C"/>
    <w:rsid w:val="001D10A1"/>
    <w:rsid w:val="001D3EDA"/>
    <w:rsid w:val="001D401D"/>
    <w:rsid w:val="001D406C"/>
    <w:rsid w:val="001D41EE"/>
    <w:rsid w:val="001D4DA0"/>
    <w:rsid w:val="001D74B8"/>
    <w:rsid w:val="001D74ED"/>
    <w:rsid w:val="001D7E91"/>
    <w:rsid w:val="001E0380"/>
    <w:rsid w:val="001E09F9"/>
    <w:rsid w:val="001E13B1"/>
    <w:rsid w:val="001E2145"/>
    <w:rsid w:val="001E2C03"/>
    <w:rsid w:val="001E4179"/>
    <w:rsid w:val="001E5788"/>
    <w:rsid w:val="001E7721"/>
    <w:rsid w:val="001E7D36"/>
    <w:rsid w:val="001E7DDA"/>
    <w:rsid w:val="001F1AC8"/>
    <w:rsid w:val="001F1CB7"/>
    <w:rsid w:val="001F2BC6"/>
    <w:rsid w:val="001F3787"/>
    <w:rsid w:val="001F39C9"/>
    <w:rsid w:val="001F3A19"/>
    <w:rsid w:val="001F3CBF"/>
    <w:rsid w:val="001F3CDF"/>
    <w:rsid w:val="001F4A9D"/>
    <w:rsid w:val="001F50E7"/>
    <w:rsid w:val="001F5F69"/>
    <w:rsid w:val="001F6CC3"/>
    <w:rsid w:val="001F7466"/>
    <w:rsid w:val="00202FEF"/>
    <w:rsid w:val="00205178"/>
    <w:rsid w:val="002067A1"/>
    <w:rsid w:val="00207187"/>
    <w:rsid w:val="00207309"/>
    <w:rsid w:val="00207312"/>
    <w:rsid w:val="00207590"/>
    <w:rsid w:val="00212ADC"/>
    <w:rsid w:val="002139A0"/>
    <w:rsid w:val="00213B69"/>
    <w:rsid w:val="00215C7A"/>
    <w:rsid w:val="00216FCC"/>
    <w:rsid w:val="00217167"/>
    <w:rsid w:val="002174DA"/>
    <w:rsid w:val="002200F4"/>
    <w:rsid w:val="002210D2"/>
    <w:rsid w:val="00221C42"/>
    <w:rsid w:val="0022339F"/>
    <w:rsid w:val="00223431"/>
    <w:rsid w:val="00223A8D"/>
    <w:rsid w:val="00223DEA"/>
    <w:rsid w:val="00225CE1"/>
    <w:rsid w:val="00226B86"/>
    <w:rsid w:val="002272F3"/>
    <w:rsid w:val="002276EB"/>
    <w:rsid w:val="00227B59"/>
    <w:rsid w:val="002305CC"/>
    <w:rsid w:val="00231221"/>
    <w:rsid w:val="0023219A"/>
    <w:rsid w:val="0023397C"/>
    <w:rsid w:val="00234467"/>
    <w:rsid w:val="002364F4"/>
    <w:rsid w:val="00236822"/>
    <w:rsid w:val="00237565"/>
    <w:rsid w:val="00237762"/>
    <w:rsid w:val="00237D8D"/>
    <w:rsid w:val="00240F61"/>
    <w:rsid w:val="00241DA2"/>
    <w:rsid w:val="00242566"/>
    <w:rsid w:val="00243A10"/>
    <w:rsid w:val="002442A2"/>
    <w:rsid w:val="002442C6"/>
    <w:rsid w:val="00244D6F"/>
    <w:rsid w:val="00245898"/>
    <w:rsid w:val="00245B79"/>
    <w:rsid w:val="00247FEE"/>
    <w:rsid w:val="00250777"/>
    <w:rsid w:val="00250E7D"/>
    <w:rsid w:val="00254209"/>
    <w:rsid w:val="002565D5"/>
    <w:rsid w:val="00257654"/>
    <w:rsid w:val="002576D6"/>
    <w:rsid w:val="00261238"/>
    <w:rsid w:val="0026212E"/>
    <w:rsid w:val="002622C0"/>
    <w:rsid w:val="00262E3A"/>
    <w:rsid w:val="00263C8C"/>
    <w:rsid w:val="002653E7"/>
    <w:rsid w:val="002666EF"/>
    <w:rsid w:val="00270160"/>
    <w:rsid w:val="00271C30"/>
    <w:rsid w:val="00272D5E"/>
    <w:rsid w:val="002731E5"/>
    <w:rsid w:val="00273F03"/>
    <w:rsid w:val="00274280"/>
    <w:rsid w:val="00275663"/>
    <w:rsid w:val="00276270"/>
    <w:rsid w:val="0027707D"/>
    <w:rsid w:val="002774E6"/>
    <w:rsid w:val="002778AE"/>
    <w:rsid w:val="0028269A"/>
    <w:rsid w:val="00283590"/>
    <w:rsid w:val="00284454"/>
    <w:rsid w:val="0028459C"/>
    <w:rsid w:val="002846B1"/>
    <w:rsid w:val="002850C6"/>
    <w:rsid w:val="00286696"/>
    <w:rsid w:val="00286973"/>
    <w:rsid w:val="002872E2"/>
    <w:rsid w:val="00287C9F"/>
    <w:rsid w:val="002926D0"/>
    <w:rsid w:val="0029412B"/>
    <w:rsid w:val="00294E70"/>
    <w:rsid w:val="00295290"/>
    <w:rsid w:val="002977CD"/>
    <w:rsid w:val="00297D40"/>
    <w:rsid w:val="002A1343"/>
    <w:rsid w:val="002A1924"/>
    <w:rsid w:val="002A2526"/>
    <w:rsid w:val="002A2EA8"/>
    <w:rsid w:val="002A3361"/>
    <w:rsid w:val="002A344B"/>
    <w:rsid w:val="002A3A78"/>
    <w:rsid w:val="002A511D"/>
    <w:rsid w:val="002A67AC"/>
    <w:rsid w:val="002A7420"/>
    <w:rsid w:val="002B06D8"/>
    <w:rsid w:val="002B0F12"/>
    <w:rsid w:val="002B1308"/>
    <w:rsid w:val="002B1CCC"/>
    <w:rsid w:val="002B4554"/>
    <w:rsid w:val="002B52D0"/>
    <w:rsid w:val="002B601A"/>
    <w:rsid w:val="002C119F"/>
    <w:rsid w:val="002C1892"/>
    <w:rsid w:val="002C1990"/>
    <w:rsid w:val="002C2D99"/>
    <w:rsid w:val="002C3043"/>
    <w:rsid w:val="002C408B"/>
    <w:rsid w:val="002C4A2D"/>
    <w:rsid w:val="002C5134"/>
    <w:rsid w:val="002C5724"/>
    <w:rsid w:val="002C6EE2"/>
    <w:rsid w:val="002C72D8"/>
    <w:rsid w:val="002C7A61"/>
    <w:rsid w:val="002D11FA"/>
    <w:rsid w:val="002D16D0"/>
    <w:rsid w:val="002D1C55"/>
    <w:rsid w:val="002D1E36"/>
    <w:rsid w:val="002D2A6B"/>
    <w:rsid w:val="002D3AAD"/>
    <w:rsid w:val="002D4BA5"/>
    <w:rsid w:val="002D626B"/>
    <w:rsid w:val="002D65C8"/>
    <w:rsid w:val="002E0593"/>
    <w:rsid w:val="002E0DDF"/>
    <w:rsid w:val="002E0E95"/>
    <w:rsid w:val="002E1BA4"/>
    <w:rsid w:val="002E2286"/>
    <w:rsid w:val="002E2906"/>
    <w:rsid w:val="002E2FB7"/>
    <w:rsid w:val="002E363B"/>
    <w:rsid w:val="002E5635"/>
    <w:rsid w:val="002E589C"/>
    <w:rsid w:val="002E5B15"/>
    <w:rsid w:val="002E64C3"/>
    <w:rsid w:val="002E6A2C"/>
    <w:rsid w:val="002E75F4"/>
    <w:rsid w:val="002E76F0"/>
    <w:rsid w:val="002F0116"/>
    <w:rsid w:val="002F02B9"/>
    <w:rsid w:val="002F1346"/>
    <w:rsid w:val="002F1791"/>
    <w:rsid w:val="002F1D8C"/>
    <w:rsid w:val="002F21DA"/>
    <w:rsid w:val="002F246D"/>
    <w:rsid w:val="002F2552"/>
    <w:rsid w:val="002F3EAE"/>
    <w:rsid w:val="002F4414"/>
    <w:rsid w:val="002F46B6"/>
    <w:rsid w:val="002F7B28"/>
    <w:rsid w:val="00300098"/>
    <w:rsid w:val="00301636"/>
    <w:rsid w:val="003019D3"/>
    <w:rsid w:val="00301F39"/>
    <w:rsid w:val="00302E7D"/>
    <w:rsid w:val="00303862"/>
    <w:rsid w:val="003046EF"/>
    <w:rsid w:val="00304728"/>
    <w:rsid w:val="00304FA3"/>
    <w:rsid w:val="00310712"/>
    <w:rsid w:val="00310E11"/>
    <w:rsid w:val="00311567"/>
    <w:rsid w:val="00311E62"/>
    <w:rsid w:val="00312800"/>
    <w:rsid w:val="00312F63"/>
    <w:rsid w:val="0031338C"/>
    <w:rsid w:val="003160D7"/>
    <w:rsid w:val="00316610"/>
    <w:rsid w:val="003175A6"/>
    <w:rsid w:val="0031777F"/>
    <w:rsid w:val="00317AFA"/>
    <w:rsid w:val="00317CDD"/>
    <w:rsid w:val="00320601"/>
    <w:rsid w:val="003223A4"/>
    <w:rsid w:val="00323A45"/>
    <w:rsid w:val="00323E84"/>
    <w:rsid w:val="003252DC"/>
    <w:rsid w:val="00325926"/>
    <w:rsid w:val="00326572"/>
    <w:rsid w:val="00326C7B"/>
    <w:rsid w:val="00327A8A"/>
    <w:rsid w:val="00327F31"/>
    <w:rsid w:val="00331F15"/>
    <w:rsid w:val="0033295A"/>
    <w:rsid w:val="00333447"/>
    <w:rsid w:val="00335C36"/>
    <w:rsid w:val="00335DC3"/>
    <w:rsid w:val="00336610"/>
    <w:rsid w:val="003370E4"/>
    <w:rsid w:val="00337401"/>
    <w:rsid w:val="003406C9"/>
    <w:rsid w:val="0034170C"/>
    <w:rsid w:val="00343A2D"/>
    <w:rsid w:val="00343AF7"/>
    <w:rsid w:val="00343F73"/>
    <w:rsid w:val="00345060"/>
    <w:rsid w:val="00346377"/>
    <w:rsid w:val="003477B3"/>
    <w:rsid w:val="0035054C"/>
    <w:rsid w:val="00350ACB"/>
    <w:rsid w:val="00351444"/>
    <w:rsid w:val="003530EF"/>
    <w:rsid w:val="0035322D"/>
    <w:rsid w:val="0035323B"/>
    <w:rsid w:val="00353933"/>
    <w:rsid w:val="00356920"/>
    <w:rsid w:val="00356C1D"/>
    <w:rsid w:val="00360055"/>
    <w:rsid w:val="003604BE"/>
    <w:rsid w:val="003609D2"/>
    <w:rsid w:val="00361C00"/>
    <w:rsid w:val="00361F78"/>
    <w:rsid w:val="00363819"/>
    <w:rsid w:val="00363D3B"/>
    <w:rsid w:val="00363F22"/>
    <w:rsid w:val="003640A6"/>
    <w:rsid w:val="00364E25"/>
    <w:rsid w:val="0037211D"/>
    <w:rsid w:val="00372F5C"/>
    <w:rsid w:val="003736E5"/>
    <w:rsid w:val="003741BB"/>
    <w:rsid w:val="003749E2"/>
    <w:rsid w:val="00375564"/>
    <w:rsid w:val="003758B5"/>
    <w:rsid w:val="00375B94"/>
    <w:rsid w:val="003760EC"/>
    <w:rsid w:val="003764F1"/>
    <w:rsid w:val="00381DC3"/>
    <w:rsid w:val="00383191"/>
    <w:rsid w:val="00383318"/>
    <w:rsid w:val="003833C0"/>
    <w:rsid w:val="0038368F"/>
    <w:rsid w:val="00384F4C"/>
    <w:rsid w:val="0038560C"/>
    <w:rsid w:val="00385EED"/>
    <w:rsid w:val="00386964"/>
    <w:rsid w:val="00386B8F"/>
    <w:rsid w:val="00386DED"/>
    <w:rsid w:val="00390398"/>
    <w:rsid w:val="00390BE4"/>
    <w:rsid w:val="003912E7"/>
    <w:rsid w:val="00391ABA"/>
    <w:rsid w:val="00392DD3"/>
    <w:rsid w:val="00392E9A"/>
    <w:rsid w:val="003932A7"/>
    <w:rsid w:val="00393947"/>
    <w:rsid w:val="00393C96"/>
    <w:rsid w:val="00396537"/>
    <w:rsid w:val="00396686"/>
    <w:rsid w:val="00397CA7"/>
    <w:rsid w:val="003A17DB"/>
    <w:rsid w:val="003A1EC6"/>
    <w:rsid w:val="003A2275"/>
    <w:rsid w:val="003A3744"/>
    <w:rsid w:val="003A6A4F"/>
    <w:rsid w:val="003A6CAF"/>
    <w:rsid w:val="003A7088"/>
    <w:rsid w:val="003B00DF"/>
    <w:rsid w:val="003B0495"/>
    <w:rsid w:val="003B0C43"/>
    <w:rsid w:val="003B1275"/>
    <w:rsid w:val="003B12A0"/>
    <w:rsid w:val="003B1403"/>
    <w:rsid w:val="003B1778"/>
    <w:rsid w:val="003B1B97"/>
    <w:rsid w:val="003B28B8"/>
    <w:rsid w:val="003B309A"/>
    <w:rsid w:val="003B5A33"/>
    <w:rsid w:val="003B74F7"/>
    <w:rsid w:val="003C0923"/>
    <w:rsid w:val="003C10FA"/>
    <w:rsid w:val="003C11CB"/>
    <w:rsid w:val="003C2E11"/>
    <w:rsid w:val="003C480D"/>
    <w:rsid w:val="003C4CA4"/>
    <w:rsid w:val="003C4F2C"/>
    <w:rsid w:val="003C57F5"/>
    <w:rsid w:val="003C6D75"/>
    <w:rsid w:val="003C75F3"/>
    <w:rsid w:val="003C78A3"/>
    <w:rsid w:val="003D0D09"/>
    <w:rsid w:val="003D1ABA"/>
    <w:rsid w:val="003D3342"/>
    <w:rsid w:val="003D3497"/>
    <w:rsid w:val="003D65CE"/>
    <w:rsid w:val="003D786F"/>
    <w:rsid w:val="003E052E"/>
    <w:rsid w:val="003E06C5"/>
    <w:rsid w:val="003E1867"/>
    <w:rsid w:val="003E2134"/>
    <w:rsid w:val="003E2179"/>
    <w:rsid w:val="003E3902"/>
    <w:rsid w:val="003E5729"/>
    <w:rsid w:val="003E5A87"/>
    <w:rsid w:val="003E63C6"/>
    <w:rsid w:val="003E74B5"/>
    <w:rsid w:val="003F0A18"/>
    <w:rsid w:val="003F268C"/>
    <w:rsid w:val="003F2F9E"/>
    <w:rsid w:val="003F42A9"/>
    <w:rsid w:val="003F4E5A"/>
    <w:rsid w:val="003F4E71"/>
    <w:rsid w:val="003F4EE0"/>
    <w:rsid w:val="003F57EB"/>
    <w:rsid w:val="003F600A"/>
    <w:rsid w:val="003F6190"/>
    <w:rsid w:val="003F689C"/>
    <w:rsid w:val="003F6D55"/>
    <w:rsid w:val="003F781F"/>
    <w:rsid w:val="003F7B81"/>
    <w:rsid w:val="004007A6"/>
    <w:rsid w:val="00401532"/>
    <w:rsid w:val="0040157E"/>
    <w:rsid w:val="00401873"/>
    <w:rsid w:val="00401D54"/>
    <w:rsid w:val="00401E28"/>
    <w:rsid w:val="00402153"/>
    <w:rsid w:val="00402461"/>
    <w:rsid w:val="00402934"/>
    <w:rsid w:val="00402FC1"/>
    <w:rsid w:val="0040319A"/>
    <w:rsid w:val="00403255"/>
    <w:rsid w:val="004042C1"/>
    <w:rsid w:val="00404E3A"/>
    <w:rsid w:val="00404EB0"/>
    <w:rsid w:val="004051E2"/>
    <w:rsid w:val="00406219"/>
    <w:rsid w:val="0041130B"/>
    <w:rsid w:val="004122A4"/>
    <w:rsid w:val="00412E64"/>
    <w:rsid w:val="00414B50"/>
    <w:rsid w:val="00415F22"/>
    <w:rsid w:val="00417052"/>
    <w:rsid w:val="00417420"/>
    <w:rsid w:val="00422634"/>
    <w:rsid w:val="0042471D"/>
    <w:rsid w:val="00425059"/>
    <w:rsid w:val="00425082"/>
    <w:rsid w:val="00425644"/>
    <w:rsid w:val="004257B5"/>
    <w:rsid w:val="00430CE8"/>
    <w:rsid w:val="00431D10"/>
    <w:rsid w:val="00431DEB"/>
    <w:rsid w:val="00432156"/>
    <w:rsid w:val="004321C9"/>
    <w:rsid w:val="004321CA"/>
    <w:rsid w:val="00434355"/>
    <w:rsid w:val="0043484E"/>
    <w:rsid w:val="004352CD"/>
    <w:rsid w:val="00440047"/>
    <w:rsid w:val="004416DF"/>
    <w:rsid w:val="004421A7"/>
    <w:rsid w:val="004425E8"/>
    <w:rsid w:val="00443E78"/>
    <w:rsid w:val="00444F4A"/>
    <w:rsid w:val="00445D51"/>
    <w:rsid w:val="00445F47"/>
    <w:rsid w:val="00446B29"/>
    <w:rsid w:val="00446C4C"/>
    <w:rsid w:val="00447BCF"/>
    <w:rsid w:val="004505C8"/>
    <w:rsid w:val="00450A69"/>
    <w:rsid w:val="00450E29"/>
    <w:rsid w:val="0045381B"/>
    <w:rsid w:val="00453F9A"/>
    <w:rsid w:val="0045441B"/>
    <w:rsid w:val="0045454F"/>
    <w:rsid w:val="00454C08"/>
    <w:rsid w:val="00454E81"/>
    <w:rsid w:val="0045580D"/>
    <w:rsid w:val="00456C05"/>
    <w:rsid w:val="004571D5"/>
    <w:rsid w:val="00460582"/>
    <w:rsid w:val="00461565"/>
    <w:rsid w:val="00463D92"/>
    <w:rsid w:val="00464179"/>
    <w:rsid w:val="0046464D"/>
    <w:rsid w:val="004657FB"/>
    <w:rsid w:val="00467705"/>
    <w:rsid w:val="00467CDD"/>
    <w:rsid w:val="00471E91"/>
    <w:rsid w:val="00472A14"/>
    <w:rsid w:val="004730CE"/>
    <w:rsid w:val="0047333E"/>
    <w:rsid w:val="00473933"/>
    <w:rsid w:val="00473E39"/>
    <w:rsid w:val="0047418A"/>
    <w:rsid w:val="0047446D"/>
    <w:rsid w:val="00474675"/>
    <w:rsid w:val="0047470C"/>
    <w:rsid w:val="00474DDD"/>
    <w:rsid w:val="00474F14"/>
    <w:rsid w:val="004771D2"/>
    <w:rsid w:val="0047737B"/>
    <w:rsid w:val="00477499"/>
    <w:rsid w:val="004775C1"/>
    <w:rsid w:val="00477646"/>
    <w:rsid w:val="00480141"/>
    <w:rsid w:val="0048075A"/>
    <w:rsid w:val="0048233C"/>
    <w:rsid w:val="0048235D"/>
    <w:rsid w:val="00483AD0"/>
    <w:rsid w:val="004863BC"/>
    <w:rsid w:val="004864EB"/>
    <w:rsid w:val="004879D5"/>
    <w:rsid w:val="00487D62"/>
    <w:rsid w:val="00491BEA"/>
    <w:rsid w:val="00492326"/>
    <w:rsid w:val="00492EB0"/>
    <w:rsid w:val="00493C6E"/>
    <w:rsid w:val="004976B1"/>
    <w:rsid w:val="00497AEB"/>
    <w:rsid w:val="00497EB4"/>
    <w:rsid w:val="004A08B9"/>
    <w:rsid w:val="004A13CA"/>
    <w:rsid w:val="004A3155"/>
    <w:rsid w:val="004A35F9"/>
    <w:rsid w:val="004A3ADE"/>
    <w:rsid w:val="004A3D01"/>
    <w:rsid w:val="004A44E7"/>
    <w:rsid w:val="004A4982"/>
    <w:rsid w:val="004A4BBE"/>
    <w:rsid w:val="004A4F1A"/>
    <w:rsid w:val="004A6288"/>
    <w:rsid w:val="004A693C"/>
    <w:rsid w:val="004A74D6"/>
    <w:rsid w:val="004B04FB"/>
    <w:rsid w:val="004B095E"/>
    <w:rsid w:val="004B09EE"/>
    <w:rsid w:val="004B0ED2"/>
    <w:rsid w:val="004B0FB3"/>
    <w:rsid w:val="004B1718"/>
    <w:rsid w:val="004B24C1"/>
    <w:rsid w:val="004B351A"/>
    <w:rsid w:val="004B3BC0"/>
    <w:rsid w:val="004B4049"/>
    <w:rsid w:val="004B417D"/>
    <w:rsid w:val="004B4329"/>
    <w:rsid w:val="004B477B"/>
    <w:rsid w:val="004B4797"/>
    <w:rsid w:val="004B63BF"/>
    <w:rsid w:val="004C0298"/>
    <w:rsid w:val="004C148E"/>
    <w:rsid w:val="004C1B52"/>
    <w:rsid w:val="004C1BD3"/>
    <w:rsid w:val="004C1EB6"/>
    <w:rsid w:val="004C292F"/>
    <w:rsid w:val="004C2D86"/>
    <w:rsid w:val="004C549A"/>
    <w:rsid w:val="004C5B65"/>
    <w:rsid w:val="004C5BE3"/>
    <w:rsid w:val="004C6763"/>
    <w:rsid w:val="004C6813"/>
    <w:rsid w:val="004C68D4"/>
    <w:rsid w:val="004C776F"/>
    <w:rsid w:val="004D2238"/>
    <w:rsid w:val="004D30E7"/>
    <w:rsid w:val="004D38C7"/>
    <w:rsid w:val="004D3F1D"/>
    <w:rsid w:val="004D47A6"/>
    <w:rsid w:val="004D4BF9"/>
    <w:rsid w:val="004D52B4"/>
    <w:rsid w:val="004D5382"/>
    <w:rsid w:val="004D53E0"/>
    <w:rsid w:val="004D5E5D"/>
    <w:rsid w:val="004D6734"/>
    <w:rsid w:val="004D6887"/>
    <w:rsid w:val="004E27C3"/>
    <w:rsid w:val="004E36C1"/>
    <w:rsid w:val="004E5D98"/>
    <w:rsid w:val="004E61F1"/>
    <w:rsid w:val="004E6619"/>
    <w:rsid w:val="004E6E3F"/>
    <w:rsid w:val="004F06AF"/>
    <w:rsid w:val="004F11B1"/>
    <w:rsid w:val="004F14BF"/>
    <w:rsid w:val="004F3E40"/>
    <w:rsid w:val="004F3F51"/>
    <w:rsid w:val="004F46D2"/>
    <w:rsid w:val="004F4B41"/>
    <w:rsid w:val="004F4C8D"/>
    <w:rsid w:val="004F5CB6"/>
    <w:rsid w:val="004F6B92"/>
    <w:rsid w:val="005006D2"/>
    <w:rsid w:val="005009DB"/>
    <w:rsid w:val="0050169C"/>
    <w:rsid w:val="00501B19"/>
    <w:rsid w:val="00503183"/>
    <w:rsid w:val="005040FA"/>
    <w:rsid w:val="00504F59"/>
    <w:rsid w:val="005066D0"/>
    <w:rsid w:val="005070FC"/>
    <w:rsid w:val="005073EE"/>
    <w:rsid w:val="00510280"/>
    <w:rsid w:val="005105C3"/>
    <w:rsid w:val="00510FEB"/>
    <w:rsid w:val="00511D3E"/>
    <w:rsid w:val="005127B2"/>
    <w:rsid w:val="00513D73"/>
    <w:rsid w:val="00514A43"/>
    <w:rsid w:val="00514A8F"/>
    <w:rsid w:val="0051588F"/>
    <w:rsid w:val="00516205"/>
    <w:rsid w:val="005165A4"/>
    <w:rsid w:val="005165ED"/>
    <w:rsid w:val="005167A3"/>
    <w:rsid w:val="00516F49"/>
    <w:rsid w:val="005174E5"/>
    <w:rsid w:val="005212BB"/>
    <w:rsid w:val="00521F7D"/>
    <w:rsid w:val="00521FB2"/>
    <w:rsid w:val="00522393"/>
    <w:rsid w:val="00522620"/>
    <w:rsid w:val="00522BBA"/>
    <w:rsid w:val="00522DC9"/>
    <w:rsid w:val="00522EEF"/>
    <w:rsid w:val="00525656"/>
    <w:rsid w:val="0052595D"/>
    <w:rsid w:val="00525F64"/>
    <w:rsid w:val="00526D20"/>
    <w:rsid w:val="00526FF2"/>
    <w:rsid w:val="005270ED"/>
    <w:rsid w:val="0052771C"/>
    <w:rsid w:val="00530C6D"/>
    <w:rsid w:val="0053142D"/>
    <w:rsid w:val="005317A3"/>
    <w:rsid w:val="0053192F"/>
    <w:rsid w:val="00531B96"/>
    <w:rsid w:val="00533073"/>
    <w:rsid w:val="0053308B"/>
    <w:rsid w:val="00533761"/>
    <w:rsid w:val="00534156"/>
    <w:rsid w:val="00534C02"/>
    <w:rsid w:val="005359EF"/>
    <w:rsid w:val="0053642A"/>
    <w:rsid w:val="00537966"/>
    <w:rsid w:val="00537F24"/>
    <w:rsid w:val="00540117"/>
    <w:rsid w:val="005407C4"/>
    <w:rsid w:val="005418A1"/>
    <w:rsid w:val="00541D64"/>
    <w:rsid w:val="0054264B"/>
    <w:rsid w:val="005431A7"/>
    <w:rsid w:val="00543786"/>
    <w:rsid w:val="00544141"/>
    <w:rsid w:val="005442BA"/>
    <w:rsid w:val="0054450C"/>
    <w:rsid w:val="0054507F"/>
    <w:rsid w:val="005462ED"/>
    <w:rsid w:val="00546807"/>
    <w:rsid w:val="00546D15"/>
    <w:rsid w:val="005470D4"/>
    <w:rsid w:val="00547207"/>
    <w:rsid w:val="00547D5D"/>
    <w:rsid w:val="005501E7"/>
    <w:rsid w:val="00550DE8"/>
    <w:rsid w:val="0055152F"/>
    <w:rsid w:val="00551903"/>
    <w:rsid w:val="00551E47"/>
    <w:rsid w:val="00552155"/>
    <w:rsid w:val="005521DF"/>
    <w:rsid w:val="00552586"/>
    <w:rsid w:val="005533D7"/>
    <w:rsid w:val="0055446C"/>
    <w:rsid w:val="00554D0B"/>
    <w:rsid w:val="0055726B"/>
    <w:rsid w:val="00557927"/>
    <w:rsid w:val="00560E90"/>
    <w:rsid w:val="005617EC"/>
    <w:rsid w:val="0056218B"/>
    <w:rsid w:val="00562E45"/>
    <w:rsid w:val="00563668"/>
    <w:rsid w:val="00565029"/>
    <w:rsid w:val="005650E3"/>
    <w:rsid w:val="0056553C"/>
    <w:rsid w:val="005655F6"/>
    <w:rsid w:val="00566397"/>
    <w:rsid w:val="00566B09"/>
    <w:rsid w:val="005679A8"/>
    <w:rsid w:val="005703DE"/>
    <w:rsid w:val="0057078F"/>
    <w:rsid w:val="00571E4A"/>
    <w:rsid w:val="00574BFC"/>
    <w:rsid w:val="00575716"/>
    <w:rsid w:val="00580F1B"/>
    <w:rsid w:val="00582827"/>
    <w:rsid w:val="005832B4"/>
    <w:rsid w:val="0058464E"/>
    <w:rsid w:val="0058493E"/>
    <w:rsid w:val="00584B4A"/>
    <w:rsid w:val="00584C51"/>
    <w:rsid w:val="00585530"/>
    <w:rsid w:val="005869C5"/>
    <w:rsid w:val="00587357"/>
    <w:rsid w:val="00591A88"/>
    <w:rsid w:val="00592D71"/>
    <w:rsid w:val="00592FCE"/>
    <w:rsid w:val="00593B48"/>
    <w:rsid w:val="00595C84"/>
    <w:rsid w:val="0059709E"/>
    <w:rsid w:val="005A01CB"/>
    <w:rsid w:val="005A1D9F"/>
    <w:rsid w:val="005A3602"/>
    <w:rsid w:val="005A362E"/>
    <w:rsid w:val="005A58AD"/>
    <w:rsid w:val="005A58FF"/>
    <w:rsid w:val="005A5EAF"/>
    <w:rsid w:val="005A64C0"/>
    <w:rsid w:val="005A6EAC"/>
    <w:rsid w:val="005B1837"/>
    <w:rsid w:val="005B1BCF"/>
    <w:rsid w:val="005B2A24"/>
    <w:rsid w:val="005B363F"/>
    <w:rsid w:val="005B3C11"/>
    <w:rsid w:val="005B41CB"/>
    <w:rsid w:val="005B45A0"/>
    <w:rsid w:val="005B4624"/>
    <w:rsid w:val="005B5305"/>
    <w:rsid w:val="005B5B62"/>
    <w:rsid w:val="005B66D1"/>
    <w:rsid w:val="005B6707"/>
    <w:rsid w:val="005C0B77"/>
    <w:rsid w:val="005C0D51"/>
    <w:rsid w:val="005C1764"/>
    <w:rsid w:val="005C1C28"/>
    <w:rsid w:val="005C2433"/>
    <w:rsid w:val="005C4112"/>
    <w:rsid w:val="005C43EA"/>
    <w:rsid w:val="005C513D"/>
    <w:rsid w:val="005C5219"/>
    <w:rsid w:val="005C6355"/>
    <w:rsid w:val="005C6DB5"/>
    <w:rsid w:val="005D193A"/>
    <w:rsid w:val="005D3124"/>
    <w:rsid w:val="005D7A34"/>
    <w:rsid w:val="005E001B"/>
    <w:rsid w:val="005E03B2"/>
    <w:rsid w:val="005E0602"/>
    <w:rsid w:val="005E0A50"/>
    <w:rsid w:val="005E1494"/>
    <w:rsid w:val="005E19E7"/>
    <w:rsid w:val="005E1F13"/>
    <w:rsid w:val="005E2418"/>
    <w:rsid w:val="005E4378"/>
    <w:rsid w:val="005E4F14"/>
    <w:rsid w:val="005E55CA"/>
    <w:rsid w:val="005E605B"/>
    <w:rsid w:val="005E6986"/>
    <w:rsid w:val="005F0D35"/>
    <w:rsid w:val="005F1738"/>
    <w:rsid w:val="005F2537"/>
    <w:rsid w:val="005F4C39"/>
    <w:rsid w:val="005F4D72"/>
    <w:rsid w:val="005F53D5"/>
    <w:rsid w:val="005F6250"/>
    <w:rsid w:val="005F6ECC"/>
    <w:rsid w:val="0060092B"/>
    <w:rsid w:val="00600C90"/>
    <w:rsid w:val="00600D02"/>
    <w:rsid w:val="00603B16"/>
    <w:rsid w:val="00604D0A"/>
    <w:rsid w:val="00607DA7"/>
    <w:rsid w:val="0061113F"/>
    <w:rsid w:val="006114DA"/>
    <w:rsid w:val="00613379"/>
    <w:rsid w:val="00614574"/>
    <w:rsid w:val="006157A6"/>
    <w:rsid w:val="00615B6B"/>
    <w:rsid w:val="00616F0F"/>
    <w:rsid w:val="0061716C"/>
    <w:rsid w:val="0061786C"/>
    <w:rsid w:val="00617BA6"/>
    <w:rsid w:val="00620956"/>
    <w:rsid w:val="00620BF1"/>
    <w:rsid w:val="00621C4D"/>
    <w:rsid w:val="006243A1"/>
    <w:rsid w:val="00624690"/>
    <w:rsid w:val="00624821"/>
    <w:rsid w:val="006275F8"/>
    <w:rsid w:val="00627BC9"/>
    <w:rsid w:val="006308BD"/>
    <w:rsid w:val="00630931"/>
    <w:rsid w:val="00630A2E"/>
    <w:rsid w:val="0063144B"/>
    <w:rsid w:val="0063177B"/>
    <w:rsid w:val="00631C00"/>
    <w:rsid w:val="00631F25"/>
    <w:rsid w:val="00632330"/>
    <w:rsid w:val="00632E56"/>
    <w:rsid w:val="0063386E"/>
    <w:rsid w:val="00633B51"/>
    <w:rsid w:val="006346C8"/>
    <w:rsid w:val="00635CBA"/>
    <w:rsid w:val="00637421"/>
    <w:rsid w:val="00637A46"/>
    <w:rsid w:val="00641345"/>
    <w:rsid w:val="00641B65"/>
    <w:rsid w:val="006424FE"/>
    <w:rsid w:val="00642C8E"/>
    <w:rsid w:val="00642CAF"/>
    <w:rsid w:val="0064338B"/>
    <w:rsid w:val="006452C6"/>
    <w:rsid w:val="00645C92"/>
    <w:rsid w:val="00646542"/>
    <w:rsid w:val="00646C71"/>
    <w:rsid w:val="006501E9"/>
    <w:rsid w:val="006504F4"/>
    <w:rsid w:val="006508B6"/>
    <w:rsid w:val="006509E3"/>
    <w:rsid w:val="00650C9A"/>
    <w:rsid w:val="00651333"/>
    <w:rsid w:val="00652CBC"/>
    <w:rsid w:val="00654091"/>
    <w:rsid w:val="00654BC9"/>
    <w:rsid w:val="00654F18"/>
    <w:rsid w:val="006552FD"/>
    <w:rsid w:val="00655FBA"/>
    <w:rsid w:val="00656687"/>
    <w:rsid w:val="00656944"/>
    <w:rsid w:val="006601A7"/>
    <w:rsid w:val="00663AF3"/>
    <w:rsid w:val="00664C9E"/>
    <w:rsid w:val="00666B6C"/>
    <w:rsid w:val="00667909"/>
    <w:rsid w:val="00667BAE"/>
    <w:rsid w:val="00667CFA"/>
    <w:rsid w:val="00667DB1"/>
    <w:rsid w:val="006711AA"/>
    <w:rsid w:val="006719ED"/>
    <w:rsid w:val="006734EB"/>
    <w:rsid w:val="00675B4E"/>
    <w:rsid w:val="00677AB7"/>
    <w:rsid w:val="006811F0"/>
    <w:rsid w:val="00681EE3"/>
    <w:rsid w:val="00682682"/>
    <w:rsid w:val="00682702"/>
    <w:rsid w:val="00682989"/>
    <w:rsid w:val="00682CAE"/>
    <w:rsid w:val="006834E6"/>
    <w:rsid w:val="00685218"/>
    <w:rsid w:val="00686C3A"/>
    <w:rsid w:val="00687180"/>
    <w:rsid w:val="00690108"/>
    <w:rsid w:val="00690876"/>
    <w:rsid w:val="00692368"/>
    <w:rsid w:val="0069392A"/>
    <w:rsid w:val="00693CE7"/>
    <w:rsid w:val="006963F5"/>
    <w:rsid w:val="00697486"/>
    <w:rsid w:val="0069766B"/>
    <w:rsid w:val="00697A06"/>
    <w:rsid w:val="00697FAF"/>
    <w:rsid w:val="006A03FB"/>
    <w:rsid w:val="006A0BC3"/>
    <w:rsid w:val="006A16EC"/>
    <w:rsid w:val="006A1B30"/>
    <w:rsid w:val="006A1B9A"/>
    <w:rsid w:val="006A21FE"/>
    <w:rsid w:val="006A2EBC"/>
    <w:rsid w:val="006A3259"/>
    <w:rsid w:val="006A4B56"/>
    <w:rsid w:val="006A5EA0"/>
    <w:rsid w:val="006A67CA"/>
    <w:rsid w:val="006A6BCA"/>
    <w:rsid w:val="006A6DDD"/>
    <w:rsid w:val="006A783B"/>
    <w:rsid w:val="006A7B33"/>
    <w:rsid w:val="006B4B54"/>
    <w:rsid w:val="006B4E13"/>
    <w:rsid w:val="006B50A7"/>
    <w:rsid w:val="006B5FC8"/>
    <w:rsid w:val="006B6754"/>
    <w:rsid w:val="006B6BA5"/>
    <w:rsid w:val="006B75DD"/>
    <w:rsid w:val="006C0775"/>
    <w:rsid w:val="006C114B"/>
    <w:rsid w:val="006C149E"/>
    <w:rsid w:val="006C14EE"/>
    <w:rsid w:val="006C2165"/>
    <w:rsid w:val="006C4E08"/>
    <w:rsid w:val="006C512C"/>
    <w:rsid w:val="006C618D"/>
    <w:rsid w:val="006C670D"/>
    <w:rsid w:val="006C675D"/>
    <w:rsid w:val="006C67E0"/>
    <w:rsid w:val="006C6A7D"/>
    <w:rsid w:val="006C6F80"/>
    <w:rsid w:val="006C7ABA"/>
    <w:rsid w:val="006C7CED"/>
    <w:rsid w:val="006D0D4C"/>
    <w:rsid w:val="006D0D60"/>
    <w:rsid w:val="006D1122"/>
    <w:rsid w:val="006D1E8F"/>
    <w:rsid w:val="006D22E1"/>
    <w:rsid w:val="006D2DF8"/>
    <w:rsid w:val="006D3C00"/>
    <w:rsid w:val="006D4639"/>
    <w:rsid w:val="006D471A"/>
    <w:rsid w:val="006D4B04"/>
    <w:rsid w:val="006D55DF"/>
    <w:rsid w:val="006D6CF4"/>
    <w:rsid w:val="006D6D48"/>
    <w:rsid w:val="006D7D1C"/>
    <w:rsid w:val="006E0765"/>
    <w:rsid w:val="006E3675"/>
    <w:rsid w:val="006E442F"/>
    <w:rsid w:val="006E45A0"/>
    <w:rsid w:val="006E4A7F"/>
    <w:rsid w:val="006E4C22"/>
    <w:rsid w:val="006E7830"/>
    <w:rsid w:val="006F0E87"/>
    <w:rsid w:val="006F27B4"/>
    <w:rsid w:val="006F2E97"/>
    <w:rsid w:val="006F4098"/>
    <w:rsid w:val="006F489C"/>
    <w:rsid w:val="006F4B47"/>
    <w:rsid w:val="006F511E"/>
    <w:rsid w:val="007040C1"/>
    <w:rsid w:val="00704DF6"/>
    <w:rsid w:val="00705067"/>
    <w:rsid w:val="0070509D"/>
    <w:rsid w:val="0070651C"/>
    <w:rsid w:val="007071E9"/>
    <w:rsid w:val="0070723D"/>
    <w:rsid w:val="00707E00"/>
    <w:rsid w:val="0071019F"/>
    <w:rsid w:val="0071029E"/>
    <w:rsid w:val="007126A3"/>
    <w:rsid w:val="00713155"/>
    <w:rsid w:val="007132A3"/>
    <w:rsid w:val="0071532C"/>
    <w:rsid w:val="00715A79"/>
    <w:rsid w:val="00716421"/>
    <w:rsid w:val="007169CE"/>
    <w:rsid w:val="00720C21"/>
    <w:rsid w:val="007216B0"/>
    <w:rsid w:val="00724EFB"/>
    <w:rsid w:val="007307B7"/>
    <w:rsid w:val="00731619"/>
    <w:rsid w:val="00733A4B"/>
    <w:rsid w:val="00736752"/>
    <w:rsid w:val="00736A6D"/>
    <w:rsid w:val="007419C3"/>
    <w:rsid w:val="00741B7B"/>
    <w:rsid w:val="00742050"/>
    <w:rsid w:val="0074206C"/>
    <w:rsid w:val="00742270"/>
    <w:rsid w:val="00742D0B"/>
    <w:rsid w:val="00742D81"/>
    <w:rsid w:val="00743207"/>
    <w:rsid w:val="00744F22"/>
    <w:rsid w:val="007460F3"/>
    <w:rsid w:val="007467A7"/>
    <w:rsid w:val="007468D4"/>
    <w:rsid w:val="007469AD"/>
    <w:rsid w:val="007469DD"/>
    <w:rsid w:val="00747287"/>
    <w:rsid w:val="0074741B"/>
    <w:rsid w:val="0074759E"/>
    <w:rsid w:val="007478EA"/>
    <w:rsid w:val="00751111"/>
    <w:rsid w:val="00751546"/>
    <w:rsid w:val="00751786"/>
    <w:rsid w:val="0075356C"/>
    <w:rsid w:val="0075415C"/>
    <w:rsid w:val="007547EB"/>
    <w:rsid w:val="00754A31"/>
    <w:rsid w:val="007558F8"/>
    <w:rsid w:val="00756E5A"/>
    <w:rsid w:val="00757458"/>
    <w:rsid w:val="00757D16"/>
    <w:rsid w:val="00761236"/>
    <w:rsid w:val="007616A6"/>
    <w:rsid w:val="00763502"/>
    <w:rsid w:val="00763860"/>
    <w:rsid w:val="00763E6F"/>
    <w:rsid w:val="007645FF"/>
    <w:rsid w:val="00764C34"/>
    <w:rsid w:val="007665F9"/>
    <w:rsid w:val="00770432"/>
    <w:rsid w:val="007717FC"/>
    <w:rsid w:val="00771B2B"/>
    <w:rsid w:val="00771B93"/>
    <w:rsid w:val="00772451"/>
    <w:rsid w:val="0077426E"/>
    <w:rsid w:val="007754A9"/>
    <w:rsid w:val="00775ACF"/>
    <w:rsid w:val="007808A0"/>
    <w:rsid w:val="00781481"/>
    <w:rsid w:val="00781503"/>
    <w:rsid w:val="00781BA1"/>
    <w:rsid w:val="00781DAB"/>
    <w:rsid w:val="00784CC7"/>
    <w:rsid w:val="00785EFF"/>
    <w:rsid w:val="0078630A"/>
    <w:rsid w:val="00786EA5"/>
    <w:rsid w:val="007913AB"/>
    <w:rsid w:val="007914F7"/>
    <w:rsid w:val="007927CC"/>
    <w:rsid w:val="007932F7"/>
    <w:rsid w:val="00793F8C"/>
    <w:rsid w:val="00794352"/>
    <w:rsid w:val="007974A0"/>
    <w:rsid w:val="00797F2A"/>
    <w:rsid w:val="007A0177"/>
    <w:rsid w:val="007A0293"/>
    <w:rsid w:val="007A2AF4"/>
    <w:rsid w:val="007A3265"/>
    <w:rsid w:val="007A4519"/>
    <w:rsid w:val="007A4A5A"/>
    <w:rsid w:val="007A53DC"/>
    <w:rsid w:val="007A54FE"/>
    <w:rsid w:val="007A554D"/>
    <w:rsid w:val="007A591F"/>
    <w:rsid w:val="007A5BE0"/>
    <w:rsid w:val="007B008E"/>
    <w:rsid w:val="007B06C9"/>
    <w:rsid w:val="007B1625"/>
    <w:rsid w:val="007B56D6"/>
    <w:rsid w:val="007B5EE9"/>
    <w:rsid w:val="007B706E"/>
    <w:rsid w:val="007B71EB"/>
    <w:rsid w:val="007C157E"/>
    <w:rsid w:val="007C3E4D"/>
    <w:rsid w:val="007C41DE"/>
    <w:rsid w:val="007C4802"/>
    <w:rsid w:val="007C5140"/>
    <w:rsid w:val="007C5AAB"/>
    <w:rsid w:val="007C6205"/>
    <w:rsid w:val="007C686A"/>
    <w:rsid w:val="007C6D2A"/>
    <w:rsid w:val="007C7048"/>
    <w:rsid w:val="007C728E"/>
    <w:rsid w:val="007C7C77"/>
    <w:rsid w:val="007D2A8A"/>
    <w:rsid w:val="007D2C53"/>
    <w:rsid w:val="007D321C"/>
    <w:rsid w:val="007D3648"/>
    <w:rsid w:val="007D3D60"/>
    <w:rsid w:val="007D3F6C"/>
    <w:rsid w:val="007D4A35"/>
    <w:rsid w:val="007D7694"/>
    <w:rsid w:val="007E1980"/>
    <w:rsid w:val="007E2C16"/>
    <w:rsid w:val="007E4A1D"/>
    <w:rsid w:val="007E4B76"/>
    <w:rsid w:val="007E5816"/>
    <w:rsid w:val="007E5EA8"/>
    <w:rsid w:val="007E6607"/>
    <w:rsid w:val="007E67CC"/>
    <w:rsid w:val="007E6837"/>
    <w:rsid w:val="007E784B"/>
    <w:rsid w:val="007E7A1C"/>
    <w:rsid w:val="007E7B8D"/>
    <w:rsid w:val="007F03F2"/>
    <w:rsid w:val="007F0CF1"/>
    <w:rsid w:val="007F1187"/>
    <w:rsid w:val="007F12A5"/>
    <w:rsid w:val="007F18F9"/>
    <w:rsid w:val="007F24E8"/>
    <w:rsid w:val="007F3F18"/>
    <w:rsid w:val="007F3F5D"/>
    <w:rsid w:val="007F4CF1"/>
    <w:rsid w:val="007F555C"/>
    <w:rsid w:val="007F6E26"/>
    <w:rsid w:val="007F758D"/>
    <w:rsid w:val="007F7D52"/>
    <w:rsid w:val="00800953"/>
    <w:rsid w:val="0080126B"/>
    <w:rsid w:val="0080316E"/>
    <w:rsid w:val="008042CE"/>
    <w:rsid w:val="00805358"/>
    <w:rsid w:val="00805AAA"/>
    <w:rsid w:val="0080654C"/>
    <w:rsid w:val="0080699E"/>
    <w:rsid w:val="008071C6"/>
    <w:rsid w:val="00807589"/>
    <w:rsid w:val="00811AA6"/>
    <w:rsid w:val="008130C6"/>
    <w:rsid w:val="008162CD"/>
    <w:rsid w:val="008168EC"/>
    <w:rsid w:val="00817436"/>
    <w:rsid w:val="00817A00"/>
    <w:rsid w:val="00822947"/>
    <w:rsid w:val="00822C86"/>
    <w:rsid w:val="0082598B"/>
    <w:rsid w:val="00825A4D"/>
    <w:rsid w:val="00826166"/>
    <w:rsid w:val="00826236"/>
    <w:rsid w:val="008272D1"/>
    <w:rsid w:val="00830F60"/>
    <w:rsid w:val="00833E6B"/>
    <w:rsid w:val="00833EF4"/>
    <w:rsid w:val="00835DB3"/>
    <w:rsid w:val="0083617B"/>
    <w:rsid w:val="008371BD"/>
    <w:rsid w:val="00842FA4"/>
    <w:rsid w:val="00843758"/>
    <w:rsid w:val="00843850"/>
    <w:rsid w:val="00844473"/>
    <w:rsid w:val="00844A45"/>
    <w:rsid w:val="00844DF8"/>
    <w:rsid w:val="00844E5A"/>
    <w:rsid w:val="00847815"/>
    <w:rsid w:val="00847C58"/>
    <w:rsid w:val="008504A8"/>
    <w:rsid w:val="00851291"/>
    <w:rsid w:val="0085207F"/>
    <w:rsid w:val="0085282E"/>
    <w:rsid w:val="0085427C"/>
    <w:rsid w:val="00855371"/>
    <w:rsid w:val="00855EE8"/>
    <w:rsid w:val="00856E05"/>
    <w:rsid w:val="00856E07"/>
    <w:rsid w:val="00857E3D"/>
    <w:rsid w:val="00857EA9"/>
    <w:rsid w:val="00860F5A"/>
    <w:rsid w:val="00861728"/>
    <w:rsid w:val="00861C86"/>
    <w:rsid w:val="0086265F"/>
    <w:rsid w:val="0086411F"/>
    <w:rsid w:val="00865D5F"/>
    <w:rsid w:val="008661A8"/>
    <w:rsid w:val="00867F05"/>
    <w:rsid w:val="0087031E"/>
    <w:rsid w:val="00870445"/>
    <w:rsid w:val="0087198C"/>
    <w:rsid w:val="00872C1F"/>
    <w:rsid w:val="0087343F"/>
    <w:rsid w:val="0087369C"/>
    <w:rsid w:val="00873B42"/>
    <w:rsid w:val="0087441E"/>
    <w:rsid w:val="00875972"/>
    <w:rsid w:val="00876A98"/>
    <w:rsid w:val="00876DE7"/>
    <w:rsid w:val="00877505"/>
    <w:rsid w:val="00877CA2"/>
    <w:rsid w:val="0088062D"/>
    <w:rsid w:val="00880743"/>
    <w:rsid w:val="0088094B"/>
    <w:rsid w:val="008856D8"/>
    <w:rsid w:val="008914D6"/>
    <w:rsid w:val="0089192B"/>
    <w:rsid w:val="00892E82"/>
    <w:rsid w:val="0089328B"/>
    <w:rsid w:val="00894CC3"/>
    <w:rsid w:val="0089546B"/>
    <w:rsid w:val="00895D6A"/>
    <w:rsid w:val="00896368"/>
    <w:rsid w:val="0089660A"/>
    <w:rsid w:val="00897281"/>
    <w:rsid w:val="008A0F94"/>
    <w:rsid w:val="008A12D8"/>
    <w:rsid w:val="008A3EA4"/>
    <w:rsid w:val="008A5AC5"/>
    <w:rsid w:val="008A6D3B"/>
    <w:rsid w:val="008A7781"/>
    <w:rsid w:val="008A7BCF"/>
    <w:rsid w:val="008B12F1"/>
    <w:rsid w:val="008B3684"/>
    <w:rsid w:val="008B3A00"/>
    <w:rsid w:val="008B3B7B"/>
    <w:rsid w:val="008B3E79"/>
    <w:rsid w:val="008B5262"/>
    <w:rsid w:val="008B5DCB"/>
    <w:rsid w:val="008B5DEA"/>
    <w:rsid w:val="008B5F31"/>
    <w:rsid w:val="008B6913"/>
    <w:rsid w:val="008B6BAE"/>
    <w:rsid w:val="008C1B58"/>
    <w:rsid w:val="008C306E"/>
    <w:rsid w:val="008C34B3"/>
    <w:rsid w:val="008C34D7"/>
    <w:rsid w:val="008C39AE"/>
    <w:rsid w:val="008C4B3F"/>
    <w:rsid w:val="008C55A3"/>
    <w:rsid w:val="008C590D"/>
    <w:rsid w:val="008C69F3"/>
    <w:rsid w:val="008C6B7C"/>
    <w:rsid w:val="008C755D"/>
    <w:rsid w:val="008D1290"/>
    <w:rsid w:val="008D207B"/>
    <w:rsid w:val="008D4513"/>
    <w:rsid w:val="008D4D17"/>
    <w:rsid w:val="008D5046"/>
    <w:rsid w:val="008D6052"/>
    <w:rsid w:val="008D6FFA"/>
    <w:rsid w:val="008D7350"/>
    <w:rsid w:val="008D737F"/>
    <w:rsid w:val="008E031B"/>
    <w:rsid w:val="008E0E18"/>
    <w:rsid w:val="008E3B13"/>
    <w:rsid w:val="008E3E93"/>
    <w:rsid w:val="008E4605"/>
    <w:rsid w:val="008E4AF4"/>
    <w:rsid w:val="008E7029"/>
    <w:rsid w:val="008E7C09"/>
    <w:rsid w:val="008E7EF6"/>
    <w:rsid w:val="008F030B"/>
    <w:rsid w:val="008F1A1D"/>
    <w:rsid w:val="008F1E7A"/>
    <w:rsid w:val="008F1F98"/>
    <w:rsid w:val="008F2B5D"/>
    <w:rsid w:val="008F3724"/>
    <w:rsid w:val="008F373D"/>
    <w:rsid w:val="008F57CE"/>
    <w:rsid w:val="008F5C9D"/>
    <w:rsid w:val="008F6744"/>
    <w:rsid w:val="008F6758"/>
    <w:rsid w:val="008F6CF8"/>
    <w:rsid w:val="008F734B"/>
    <w:rsid w:val="0090228B"/>
    <w:rsid w:val="00903E22"/>
    <w:rsid w:val="0090401C"/>
    <w:rsid w:val="009040DD"/>
    <w:rsid w:val="00904446"/>
    <w:rsid w:val="00905407"/>
    <w:rsid w:val="00905B47"/>
    <w:rsid w:val="00905F00"/>
    <w:rsid w:val="00906315"/>
    <w:rsid w:val="0090676C"/>
    <w:rsid w:val="00906C80"/>
    <w:rsid w:val="00907120"/>
    <w:rsid w:val="0090786E"/>
    <w:rsid w:val="00907D42"/>
    <w:rsid w:val="00911AEA"/>
    <w:rsid w:val="0091331C"/>
    <w:rsid w:val="009137F8"/>
    <w:rsid w:val="00913A34"/>
    <w:rsid w:val="00913AA5"/>
    <w:rsid w:val="00914C7D"/>
    <w:rsid w:val="0091500F"/>
    <w:rsid w:val="009150A8"/>
    <w:rsid w:val="00915260"/>
    <w:rsid w:val="0091564C"/>
    <w:rsid w:val="009177F3"/>
    <w:rsid w:val="009179D2"/>
    <w:rsid w:val="0092265F"/>
    <w:rsid w:val="00922A57"/>
    <w:rsid w:val="00923A34"/>
    <w:rsid w:val="00925F30"/>
    <w:rsid w:val="00926D19"/>
    <w:rsid w:val="009279DE"/>
    <w:rsid w:val="00930116"/>
    <w:rsid w:val="009304E2"/>
    <w:rsid w:val="00935868"/>
    <w:rsid w:val="00935BCB"/>
    <w:rsid w:val="00940497"/>
    <w:rsid w:val="00941092"/>
    <w:rsid w:val="00941E99"/>
    <w:rsid w:val="0094212C"/>
    <w:rsid w:val="0094265B"/>
    <w:rsid w:val="00942973"/>
    <w:rsid w:val="00943979"/>
    <w:rsid w:val="00943F07"/>
    <w:rsid w:val="00944EC6"/>
    <w:rsid w:val="00947143"/>
    <w:rsid w:val="00947229"/>
    <w:rsid w:val="00950E09"/>
    <w:rsid w:val="0095181E"/>
    <w:rsid w:val="00951CB6"/>
    <w:rsid w:val="00951F27"/>
    <w:rsid w:val="00952478"/>
    <w:rsid w:val="00952EA0"/>
    <w:rsid w:val="00953C70"/>
    <w:rsid w:val="00953CBC"/>
    <w:rsid w:val="00954689"/>
    <w:rsid w:val="009548D0"/>
    <w:rsid w:val="00957F18"/>
    <w:rsid w:val="00960193"/>
    <w:rsid w:val="00960447"/>
    <w:rsid w:val="009617C9"/>
    <w:rsid w:val="00961C93"/>
    <w:rsid w:val="00961E34"/>
    <w:rsid w:val="00962073"/>
    <w:rsid w:val="00962461"/>
    <w:rsid w:val="00962B79"/>
    <w:rsid w:val="00962EF3"/>
    <w:rsid w:val="009631CB"/>
    <w:rsid w:val="0096335C"/>
    <w:rsid w:val="00964444"/>
    <w:rsid w:val="0096467A"/>
    <w:rsid w:val="00964996"/>
    <w:rsid w:val="00965108"/>
    <w:rsid w:val="00965324"/>
    <w:rsid w:val="00965B16"/>
    <w:rsid w:val="00970590"/>
    <w:rsid w:val="0097091E"/>
    <w:rsid w:val="00970BF5"/>
    <w:rsid w:val="00970D4B"/>
    <w:rsid w:val="0097137D"/>
    <w:rsid w:val="00972777"/>
    <w:rsid w:val="0097393C"/>
    <w:rsid w:val="0097537A"/>
    <w:rsid w:val="0097591F"/>
    <w:rsid w:val="009760D3"/>
    <w:rsid w:val="00977132"/>
    <w:rsid w:val="00977E6E"/>
    <w:rsid w:val="00980D2A"/>
    <w:rsid w:val="0098164E"/>
    <w:rsid w:val="00981A4B"/>
    <w:rsid w:val="00982501"/>
    <w:rsid w:val="0098295C"/>
    <w:rsid w:val="00983F2C"/>
    <w:rsid w:val="00984B2B"/>
    <w:rsid w:val="009865AE"/>
    <w:rsid w:val="00986CEB"/>
    <w:rsid w:val="009877D3"/>
    <w:rsid w:val="0098783E"/>
    <w:rsid w:val="00987ED9"/>
    <w:rsid w:val="00987F74"/>
    <w:rsid w:val="00991584"/>
    <w:rsid w:val="00991E6D"/>
    <w:rsid w:val="00994032"/>
    <w:rsid w:val="00994451"/>
    <w:rsid w:val="0099471D"/>
    <w:rsid w:val="00994E8F"/>
    <w:rsid w:val="009951DC"/>
    <w:rsid w:val="009959BB"/>
    <w:rsid w:val="009959EB"/>
    <w:rsid w:val="00996005"/>
    <w:rsid w:val="00997158"/>
    <w:rsid w:val="009A0F16"/>
    <w:rsid w:val="009A3A7C"/>
    <w:rsid w:val="009A6206"/>
    <w:rsid w:val="009A6612"/>
    <w:rsid w:val="009B00FC"/>
    <w:rsid w:val="009B1A99"/>
    <w:rsid w:val="009B1FAD"/>
    <w:rsid w:val="009B2ADB"/>
    <w:rsid w:val="009B2E24"/>
    <w:rsid w:val="009B310A"/>
    <w:rsid w:val="009B3BD2"/>
    <w:rsid w:val="009B59B7"/>
    <w:rsid w:val="009B5F75"/>
    <w:rsid w:val="009B603A"/>
    <w:rsid w:val="009B7C1D"/>
    <w:rsid w:val="009B7FA2"/>
    <w:rsid w:val="009C1191"/>
    <w:rsid w:val="009C1211"/>
    <w:rsid w:val="009C2D0E"/>
    <w:rsid w:val="009C2F4D"/>
    <w:rsid w:val="009C331E"/>
    <w:rsid w:val="009C3DAC"/>
    <w:rsid w:val="009C42E0"/>
    <w:rsid w:val="009C448C"/>
    <w:rsid w:val="009C53F1"/>
    <w:rsid w:val="009D08CC"/>
    <w:rsid w:val="009D22DA"/>
    <w:rsid w:val="009D22EC"/>
    <w:rsid w:val="009D2301"/>
    <w:rsid w:val="009D260D"/>
    <w:rsid w:val="009D3235"/>
    <w:rsid w:val="009D5362"/>
    <w:rsid w:val="009D60A4"/>
    <w:rsid w:val="009D665D"/>
    <w:rsid w:val="009D677A"/>
    <w:rsid w:val="009D69E5"/>
    <w:rsid w:val="009D7ED5"/>
    <w:rsid w:val="009E1415"/>
    <w:rsid w:val="009E1F5F"/>
    <w:rsid w:val="009E209C"/>
    <w:rsid w:val="009E2391"/>
    <w:rsid w:val="009E3816"/>
    <w:rsid w:val="009E3B2C"/>
    <w:rsid w:val="009E6116"/>
    <w:rsid w:val="009E6C31"/>
    <w:rsid w:val="009E7BF9"/>
    <w:rsid w:val="009F08F2"/>
    <w:rsid w:val="009F1787"/>
    <w:rsid w:val="009F2330"/>
    <w:rsid w:val="009F26D1"/>
    <w:rsid w:val="009F27EF"/>
    <w:rsid w:val="009F4158"/>
    <w:rsid w:val="009F4D63"/>
    <w:rsid w:val="009F73BE"/>
    <w:rsid w:val="00A00CB9"/>
    <w:rsid w:val="00A02767"/>
    <w:rsid w:val="00A02E43"/>
    <w:rsid w:val="00A05AA3"/>
    <w:rsid w:val="00A05FB0"/>
    <w:rsid w:val="00A065F9"/>
    <w:rsid w:val="00A06D5D"/>
    <w:rsid w:val="00A06DB7"/>
    <w:rsid w:val="00A07635"/>
    <w:rsid w:val="00A0764B"/>
    <w:rsid w:val="00A07699"/>
    <w:rsid w:val="00A07BC6"/>
    <w:rsid w:val="00A07F34"/>
    <w:rsid w:val="00A103CA"/>
    <w:rsid w:val="00A14565"/>
    <w:rsid w:val="00A1503C"/>
    <w:rsid w:val="00A1517F"/>
    <w:rsid w:val="00A15F8B"/>
    <w:rsid w:val="00A16981"/>
    <w:rsid w:val="00A173A2"/>
    <w:rsid w:val="00A20142"/>
    <w:rsid w:val="00A20BAE"/>
    <w:rsid w:val="00A2154D"/>
    <w:rsid w:val="00A22154"/>
    <w:rsid w:val="00A23D99"/>
    <w:rsid w:val="00A23E78"/>
    <w:rsid w:val="00A25C38"/>
    <w:rsid w:val="00A267C6"/>
    <w:rsid w:val="00A30E50"/>
    <w:rsid w:val="00A30E73"/>
    <w:rsid w:val="00A30E99"/>
    <w:rsid w:val="00A31987"/>
    <w:rsid w:val="00A31FF5"/>
    <w:rsid w:val="00A32FB6"/>
    <w:rsid w:val="00A33C86"/>
    <w:rsid w:val="00A33DAA"/>
    <w:rsid w:val="00A3615E"/>
    <w:rsid w:val="00A3634D"/>
    <w:rsid w:val="00A368B4"/>
    <w:rsid w:val="00A36BBE"/>
    <w:rsid w:val="00A37418"/>
    <w:rsid w:val="00A37B9E"/>
    <w:rsid w:val="00A408B7"/>
    <w:rsid w:val="00A418B4"/>
    <w:rsid w:val="00A41CC0"/>
    <w:rsid w:val="00A41E52"/>
    <w:rsid w:val="00A42EA8"/>
    <w:rsid w:val="00A4307A"/>
    <w:rsid w:val="00A47755"/>
    <w:rsid w:val="00A47EBB"/>
    <w:rsid w:val="00A50C9F"/>
    <w:rsid w:val="00A51B81"/>
    <w:rsid w:val="00A51C82"/>
    <w:rsid w:val="00A51CDD"/>
    <w:rsid w:val="00A5235F"/>
    <w:rsid w:val="00A52A74"/>
    <w:rsid w:val="00A5417E"/>
    <w:rsid w:val="00A57649"/>
    <w:rsid w:val="00A57F0C"/>
    <w:rsid w:val="00A6015C"/>
    <w:rsid w:val="00A60A38"/>
    <w:rsid w:val="00A60BC4"/>
    <w:rsid w:val="00A63161"/>
    <w:rsid w:val="00A6427F"/>
    <w:rsid w:val="00A64884"/>
    <w:rsid w:val="00A64C48"/>
    <w:rsid w:val="00A64E89"/>
    <w:rsid w:val="00A6730D"/>
    <w:rsid w:val="00A7005C"/>
    <w:rsid w:val="00A7055E"/>
    <w:rsid w:val="00A71625"/>
    <w:rsid w:val="00A716BB"/>
    <w:rsid w:val="00A71B9B"/>
    <w:rsid w:val="00A751C7"/>
    <w:rsid w:val="00A75E40"/>
    <w:rsid w:val="00A76A8B"/>
    <w:rsid w:val="00A76E95"/>
    <w:rsid w:val="00A80076"/>
    <w:rsid w:val="00A8298F"/>
    <w:rsid w:val="00A8400A"/>
    <w:rsid w:val="00A84DAE"/>
    <w:rsid w:val="00A85FDE"/>
    <w:rsid w:val="00A868E6"/>
    <w:rsid w:val="00A86A46"/>
    <w:rsid w:val="00A87844"/>
    <w:rsid w:val="00A9057B"/>
    <w:rsid w:val="00A91377"/>
    <w:rsid w:val="00A91BA8"/>
    <w:rsid w:val="00A92BF1"/>
    <w:rsid w:val="00A92F04"/>
    <w:rsid w:val="00A94154"/>
    <w:rsid w:val="00A945FE"/>
    <w:rsid w:val="00A94CDF"/>
    <w:rsid w:val="00A953A4"/>
    <w:rsid w:val="00A9613D"/>
    <w:rsid w:val="00AA038C"/>
    <w:rsid w:val="00AA09CC"/>
    <w:rsid w:val="00AA11E1"/>
    <w:rsid w:val="00AA2D23"/>
    <w:rsid w:val="00AA301F"/>
    <w:rsid w:val="00AA6120"/>
    <w:rsid w:val="00AA68B2"/>
    <w:rsid w:val="00AA6CD0"/>
    <w:rsid w:val="00AA705A"/>
    <w:rsid w:val="00AA7639"/>
    <w:rsid w:val="00AA76AA"/>
    <w:rsid w:val="00AA774F"/>
    <w:rsid w:val="00AA7A09"/>
    <w:rsid w:val="00AB0696"/>
    <w:rsid w:val="00AB20B6"/>
    <w:rsid w:val="00AB219C"/>
    <w:rsid w:val="00AB25A6"/>
    <w:rsid w:val="00AB2E4F"/>
    <w:rsid w:val="00AB3429"/>
    <w:rsid w:val="00AB3B50"/>
    <w:rsid w:val="00AB3FCC"/>
    <w:rsid w:val="00AB4286"/>
    <w:rsid w:val="00AB5146"/>
    <w:rsid w:val="00AC05B1"/>
    <w:rsid w:val="00AC0A42"/>
    <w:rsid w:val="00AC366B"/>
    <w:rsid w:val="00AC39CA"/>
    <w:rsid w:val="00AC5085"/>
    <w:rsid w:val="00AC788F"/>
    <w:rsid w:val="00AD3170"/>
    <w:rsid w:val="00AD356C"/>
    <w:rsid w:val="00AD477C"/>
    <w:rsid w:val="00AD4936"/>
    <w:rsid w:val="00AD4C03"/>
    <w:rsid w:val="00AD4EC1"/>
    <w:rsid w:val="00AD6219"/>
    <w:rsid w:val="00AD7592"/>
    <w:rsid w:val="00AD7C0A"/>
    <w:rsid w:val="00AE0DEA"/>
    <w:rsid w:val="00AE1DBD"/>
    <w:rsid w:val="00AE2914"/>
    <w:rsid w:val="00AE3DAB"/>
    <w:rsid w:val="00AE3E9B"/>
    <w:rsid w:val="00AE4EDC"/>
    <w:rsid w:val="00AE4F39"/>
    <w:rsid w:val="00AE5485"/>
    <w:rsid w:val="00AE607C"/>
    <w:rsid w:val="00AE665D"/>
    <w:rsid w:val="00AE66C0"/>
    <w:rsid w:val="00AE6D15"/>
    <w:rsid w:val="00AE7FBF"/>
    <w:rsid w:val="00AF112B"/>
    <w:rsid w:val="00AF23F1"/>
    <w:rsid w:val="00AF6A0B"/>
    <w:rsid w:val="00AF7696"/>
    <w:rsid w:val="00AF7758"/>
    <w:rsid w:val="00AF7D8E"/>
    <w:rsid w:val="00B0040D"/>
    <w:rsid w:val="00B02399"/>
    <w:rsid w:val="00B03032"/>
    <w:rsid w:val="00B03894"/>
    <w:rsid w:val="00B04182"/>
    <w:rsid w:val="00B07AE3"/>
    <w:rsid w:val="00B07D31"/>
    <w:rsid w:val="00B07D6E"/>
    <w:rsid w:val="00B10093"/>
    <w:rsid w:val="00B11430"/>
    <w:rsid w:val="00B134E9"/>
    <w:rsid w:val="00B13E5D"/>
    <w:rsid w:val="00B147B1"/>
    <w:rsid w:val="00B15C51"/>
    <w:rsid w:val="00B163F5"/>
    <w:rsid w:val="00B17DBF"/>
    <w:rsid w:val="00B20165"/>
    <w:rsid w:val="00B2281D"/>
    <w:rsid w:val="00B22A76"/>
    <w:rsid w:val="00B2383A"/>
    <w:rsid w:val="00B24E8C"/>
    <w:rsid w:val="00B258BB"/>
    <w:rsid w:val="00B27F09"/>
    <w:rsid w:val="00B31AD8"/>
    <w:rsid w:val="00B3233B"/>
    <w:rsid w:val="00B3422A"/>
    <w:rsid w:val="00B3433A"/>
    <w:rsid w:val="00B3527E"/>
    <w:rsid w:val="00B353EB"/>
    <w:rsid w:val="00B37F05"/>
    <w:rsid w:val="00B40293"/>
    <w:rsid w:val="00B4103D"/>
    <w:rsid w:val="00B43412"/>
    <w:rsid w:val="00B439C4"/>
    <w:rsid w:val="00B43B56"/>
    <w:rsid w:val="00B450B3"/>
    <w:rsid w:val="00B45245"/>
    <w:rsid w:val="00B452F0"/>
    <w:rsid w:val="00B4535E"/>
    <w:rsid w:val="00B50AA4"/>
    <w:rsid w:val="00B51F1D"/>
    <w:rsid w:val="00B52A8C"/>
    <w:rsid w:val="00B52BDE"/>
    <w:rsid w:val="00B53D40"/>
    <w:rsid w:val="00B5428F"/>
    <w:rsid w:val="00B56EFF"/>
    <w:rsid w:val="00B56FDB"/>
    <w:rsid w:val="00B6042B"/>
    <w:rsid w:val="00B60DEF"/>
    <w:rsid w:val="00B636A8"/>
    <w:rsid w:val="00B65002"/>
    <w:rsid w:val="00B663F0"/>
    <w:rsid w:val="00B665C6"/>
    <w:rsid w:val="00B67301"/>
    <w:rsid w:val="00B674EF"/>
    <w:rsid w:val="00B67F36"/>
    <w:rsid w:val="00B70332"/>
    <w:rsid w:val="00B70D35"/>
    <w:rsid w:val="00B718DE"/>
    <w:rsid w:val="00B72101"/>
    <w:rsid w:val="00B72D05"/>
    <w:rsid w:val="00B73E73"/>
    <w:rsid w:val="00B75243"/>
    <w:rsid w:val="00B805AF"/>
    <w:rsid w:val="00B80948"/>
    <w:rsid w:val="00B81955"/>
    <w:rsid w:val="00B81D08"/>
    <w:rsid w:val="00B83CC6"/>
    <w:rsid w:val="00B85A8E"/>
    <w:rsid w:val="00B85CE2"/>
    <w:rsid w:val="00B869EC"/>
    <w:rsid w:val="00B87B7E"/>
    <w:rsid w:val="00B87E6B"/>
    <w:rsid w:val="00B908ED"/>
    <w:rsid w:val="00B91E56"/>
    <w:rsid w:val="00B92F1D"/>
    <w:rsid w:val="00B9397A"/>
    <w:rsid w:val="00B9633D"/>
    <w:rsid w:val="00B97334"/>
    <w:rsid w:val="00B9750A"/>
    <w:rsid w:val="00BA0B75"/>
    <w:rsid w:val="00BA2EBE"/>
    <w:rsid w:val="00BA380E"/>
    <w:rsid w:val="00BA4211"/>
    <w:rsid w:val="00BA486A"/>
    <w:rsid w:val="00BA4B65"/>
    <w:rsid w:val="00BA5EE3"/>
    <w:rsid w:val="00BA6C05"/>
    <w:rsid w:val="00BB0F28"/>
    <w:rsid w:val="00BB126A"/>
    <w:rsid w:val="00BB1636"/>
    <w:rsid w:val="00BB1AE7"/>
    <w:rsid w:val="00BB203B"/>
    <w:rsid w:val="00BB29F7"/>
    <w:rsid w:val="00BB3329"/>
    <w:rsid w:val="00BB3978"/>
    <w:rsid w:val="00BB4130"/>
    <w:rsid w:val="00BB43F3"/>
    <w:rsid w:val="00BB458A"/>
    <w:rsid w:val="00BB4F99"/>
    <w:rsid w:val="00BC002B"/>
    <w:rsid w:val="00BC0453"/>
    <w:rsid w:val="00BC0FC8"/>
    <w:rsid w:val="00BC2353"/>
    <w:rsid w:val="00BC31A2"/>
    <w:rsid w:val="00BC3395"/>
    <w:rsid w:val="00BC6806"/>
    <w:rsid w:val="00BC7EBF"/>
    <w:rsid w:val="00BD00D3"/>
    <w:rsid w:val="00BD0F75"/>
    <w:rsid w:val="00BD1659"/>
    <w:rsid w:val="00BD2F52"/>
    <w:rsid w:val="00BD3108"/>
    <w:rsid w:val="00BD32D2"/>
    <w:rsid w:val="00BD3AA9"/>
    <w:rsid w:val="00BD42E6"/>
    <w:rsid w:val="00BD4A18"/>
    <w:rsid w:val="00BD4D10"/>
    <w:rsid w:val="00BD57BE"/>
    <w:rsid w:val="00BD5BF5"/>
    <w:rsid w:val="00BD6DB2"/>
    <w:rsid w:val="00BE0E98"/>
    <w:rsid w:val="00BE11CF"/>
    <w:rsid w:val="00BE17D1"/>
    <w:rsid w:val="00BE21AB"/>
    <w:rsid w:val="00BE2728"/>
    <w:rsid w:val="00BE31D3"/>
    <w:rsid w:val="00BE4E3B"/>
    <w:rsid w:val="00BE55CB"/>
    <w:rsid w:val="00BE59E5"/>
    <w:rsid w:val="00BE6EB3"/>
    <w:rsid w:val="00BE74ED"/>
    <w:rsid w:val="00BF045B"/>
    <w:rsid w:val="00BF112D"/>
    <w:rsid w:val="00BF14B0"/>
    <w:rsid w:val="00BF2EBE"/>
    <w:rsid w:val="00BF3944"/>
    <w:rsid w:val="00BF4D40"/>
    <w:rsid w:val="00BF5754"/>
    <w:rsid w:val="00BF617A"/>
    <w:rsid w:val="00BF6188"/>
    <w:rsid w:val="00BF6AF7"/>
    <w:rsid w:val="00BF6FCE"/>
    <w:rsid w:val="00BF79CD"/>
    <w:rsid w:val="00C00801"/>
    <w:rsid w:val="00C01322"/>
    <w:rsid w:val="00C01E6D"/>
    <w:rsid w:val="00C027D1"/>
    <w:rsid w:val="00C0379D"/>
    <w:rsid w:val="00C03931"/>
    <w:rsid w:val="00C03AE6"/>
    <w:rsid w:val="00C04D4B"/>
    <w:rsid w:val="00C04E83"/>
    <w:rsid w:val="00C0578B"/>
    <w:rsid w:val="00C05FE3"/>
    <w:rsid w:val="00C10644"/>
    <w:rsid w:val="00C10C28"/>
    <w:rsid w:val="00C114F5"/>
    <w:rsid w:val="00C13E47"/>
    <w:rsid w:val="00C148FD"/>
    <w:rsid w:val="00C15881"/>
    <w:rsid w:val="00C16DC5"/>
    <w:rsid w:val="00C17AB9"/>
    <w:rsid w:val="00C17F05"/>
    <w:rsid w:val="00C20076"/>
    <w:rsid w:val="00C20C62"/>
    <w:rsid w:val="00C2136D"/>
    <w:rsid w:val="00C214EE"/>
    <w:rsid w:val="00C21A87"/>
    <w:rsid w:val="00C2314B"/>
    <w:rsid w:val="00C23B5D"/>
    <w:rsid w:val="00C24971"/>
    <w:rsid w:val="00C2529E"/>
    <w:rsid w:val="00C26933"/>
    <w:rsid w:val="00C26BE5"/>
    <w:rsid w:val="00C26C84"/>
    <w:rsid w:val="00C26E4D"/>
    <w:rsid w:val="00C27909"/>
    <w:rsid w:val="00C27AD9"/>
    <w:rsid w:val="00C27B03"/>
    <w:rsid w:val="00C27D45"/>
    <w:rsid w:val="00C303B8"/>
    <w:rsid w:val="00C30619"/>
    <w:rsid w:val="00C314E1"/>
    <w:rsid w:val="00C31DFA"/>
    <w:rsid w:val="00C32777"/>
    <w:rsid w:val="00C33758"/>
    <w:rsid w:val="00C34397"/>
    <w:rsid w:val="00C36F18"/>
    <w:rsid w:val="00C3788B"/>
    <w:rsid w:val="00C4095D"/>
    <w:rsid w:val="00C4138F"/>
    <w:rsid w:val="00C428B9"/>
    <w:rsid w:val="00C439FF"/>
    <w:rsid w:val="00C44116"/>
    <w:rsid w:val="00C46169"/>
    <w:rsid w:val="00C475F5"/>
    <w:rsid w:val="00C4774F"/>
    <w:rsid w:val="00C5082F"/>
    <w:rsid w:val="00C50B48"/>
    <w:rsid w:val="00C5167E"/>
    <w:rsid w:val="00C520DD"/>
    <w:rsid w:val="00C5279F"/>
    <w:rsid w:val="00C53ED6"/>
    <w:rsid w:val="00C566C9"/>
    <w:rsid w:val="00C56AE4"/>
    <w:rsid w:val="00C56BC9"/>
    <w:rsid w:val="00C57C5C"/>
    <w:rsid w:val="00C57C85"/>
    <w:rsid w:val="00C601D2"/>
    <w:rsid w:val="00C60406"/>
    <w:rsid w:val="00C610AF"/>
    <w:rsid w:val="00C61C8C"/>
    <w:rsid w:val="00C629D8"/>
    <w:rsid w:val="00C63F3F"/>
    <w:rsid w:val="00C63FE7"/>
    <w:rsid w:val="00C65AC0"/>
    <w:rsid w:val="00C65BCC"/>
    <w:rsid w:val="00C65FCE"/>
    <w:rsid w:val="00C66265"/>
    <w:rsid w:val="00C668F5"/>
    <w:rsid w:val="00C66970"/>
    <w:rsid w:val="00C66BD9"/>
    <w:rsid w:val="00C70E4A"/>
    <w:rsid w:val="00C7141A"/>
    <w:rsid w:val="00C71BDC"/>
    <w:rsid w:val="00C71C18"/>
    <w:rsid w:val="00C72578"/>
    <w:rsid w:val="00C72B80"/>
    <w:rsid w:val="00C732B7"/>
    <w:rsid w:val="00C76818"/>
    <w:rsid w:val="00C8009F"/>
    <w:rsid w:val="00C80BC4"/>
    <w:rsid w:val="00C80FA5"/>
    <w:rsid w:val="00C81EEF"/>
    <w:rsid w:val="00C8282B"/>
    <w:rsid w:val="00C82B60"/>
    <w:rsid w:val="00C85F20"/>
    <w:rsid w:val="00C86410"/>
    <w:rsid w:val="00C8691C"/>
    <w:rsid w:val="00C86C68"/>
    <w:rsid w:val="00C8751C"/>
    <w:rsid w:val="00C87A83"/>
    <w:rsid w:val="00C92DB5"/>
    <w:rsid w:val="00C93BE6"/>
    <w:rsid w:val="00C94887"/>
    <w:rsid w:val="00C94E5F"/>
    <w:rsid w:val="00C95947"/>
    <w:rsid w:val="00C965A5"/>
    <w:rsid w:val="00CA04F9"/>
    <w:rsid w:val="00CA168A"/>
    <w:rsid w:val="00CA210B"/>
    <w:rsid w:val="00CA276B"/>
    <w:rsid w:val="00CA2A2E"/>
    <w:rsid w:val="00CA2A93"/>
    <w:rsid w:val="00CA357E"/>
    <w:rsid w:val="00CA44F9"/>
    <w:rsid w:val="00CA462A"/>
    <w:rsid w:val="00CA483D"/>
    <w:rsid w:val="00CA48A4"/>
    <w:rsid w:val="00CA4A69"/>
    <w:rsid w:val="00CA50C2"/>
    <w:rsid w:val="00CA5735"/>
    <w:rsid w:val="00CA78CF"/>
    <w:rsid w:val="00CB2138"/>
    <w:rsid w:val="00CB2D00"/>
    <w:rsid w:val="00CB38F0"/>
    <w:rsid w:val="00CB5BFA"/>
    <w:rsid w:val="00CB67F3"/>
    <w:rsid w:val="00CB6CBF"/>
    <w:rsid w:val="00CB7216"/>
    <w:rsid w:val="00CC092D"/>
    <w:rsid w:val="00CC12EF"/>
    <w:rsid w:val="00CC1809"/>
    <w:rsid w:val="00CC2523"/>
    <w:rsid w:val="00CC3E0C"/>
    <w:rsid w:val="00CC480F"/>
    <w:rsid w:val="00CC51A0"/>
    <w:rsid w:val="00CC58D3"/>
    <w:rsid w:val="00CC6A4E"/>
    <w:rsid w:val="00CC7087"/>
    <w:rsid w:val="00CC72FF"/>
    <w:rsid w:val="00CC784D"/>
    <w:rsid w:val="00CC7A88"/>
    <w:rsid w:val="00CD004A"/>
    <w:rsid w:val="00CD0639"/>
    <w:rsid w:val="00CD1AE7"/>
    <w:rsid w:val="00CD227D"/>
    <w:rsid w:val="00CD2381"/>
    <w:rsid w:val="00CD35AE"/>
    <w:rsid w:val="00CD3E2E"/>
    <w:rsid w:val="00CD7CE5"/>
    <w:rsid w:val="00CE1FF6"/>
    <w:rsid w:val="00CE34A3"/>
    <w:rsid w:val="00CE34B0"/>
    <w:rsid w:val="00CE4DC2"/>
    <w:rsid w:val="00CE58A4"/>
    <w:rsid w:val="00CE709B"/>
    <w:rsid w:val="00CE7BDB"/>
    <w:rsid w:val="00CE7D5B"/>
    <w:rsid w:val="00CF0EAB"/>
    <w:rsid w:val="00CF1123"/>
    <w:rsid w:val="00CF3C56"/>
    <w:rsid w:val="00CF6F36"/>
    <w:rsid w:val="00D02E09"/>
    <w:rsid w:val="00D0337B"/>
    <w:rsid w:val="00D04334"/>
    <w:rsid w:val="00D0435F"/>
    <w:rsid w:val="00D04FAC"/>
    <w:rsid w:val="00D0695D"/>
    <w:rsid w:val="00D079B2"/>
    <w:rsid w:val="00D10A9D"/>
    <w:rsid w:val="00D114E9"/>
    <w:rsid w:val="00D12E54"/>
    <w:rsid w:val="00D13AE7"/>
    <w:rsid w:val="00D15557"/>
    <w:rsid w:val="00D1557F"/>
    <w:rsid w:val="00D15633"/>
    <w:rsid w:val="00D15F14"/>
    <w:rsid w:val="00D16D41"/>
    <w:rsid w:val="00D17E9C"/>
    <w:rsid w:val="00D200EB"/>
    <w:rsid w:val="00D2039B"/>
    <w:rsid w:val="00D20A62"/>
    <w:rsid w:val="00D230A9"/>
    <w:rsid w:val="00D23B07"/>
    <w:rsid w:val="00D24CA6"/>
    <w:rsid w:val="00D2531D"/>
    <w:rsid w:val="00D2612F"/>
    <w:rsid w:val="00D267A3"/>
    <w:rsid w:val="00D31326"/>
    <w:rsid w:val="00D33396"/>
    <w:rsid w:val="00D33C1D"/>
    <w:rsid w:val="00D33C4B"/>
    <w:rsid w:val="00D343AF"/>
    <w:rsid w:val="00D34A33"/>
    <w:rsid w:val="00D350F9"/>
    <w:rsid w:val="00D353BB"/>
    <w:rsid w:val="00D37DA8"/>
    <w:rsid w:val="00D41769"/>
    <w:rsid w:val="00D4211E"/>
    <w:rsid w:val="00D429C6"/>
    <w:rsid w:val="00D45BB8"/>
    <w:rsid w:val="00D460FE"/>
    <w:rsid w:val="00D46246"/>
    <w:rsid w:val="00D47748"/>
    <w:rsid w:val="00D47CEC"/>
    <w:rsid w:val="00D5004C"/>
    <w:rsid w:val="00D5028A"/>
    <w:rsid w:val="00D50471"/>
    <w:rsid w:val="00D51892"/>
    <w:rsid w:val="00D5319D"/>
    <w:rsid w:val="00D534FE"/>
    <w:rsid w:val="00D54390"/>
    <w:rsid w:val="00D54B8A"/>
    <w:rsid w:val="00D54CC3"/>
    <w:rsid w:val="00D57CAE"/>
    <w:rsid w:val="00D602E0"/>
    <w:rsid w:val="00D6041A"/>
    <w:rsid w:val="00D60932"/>
    <w:rsid w:val="00D6195F"/>
    <w:rsid w:val="00D627D5"/>
    <w:rsid w:val="00D633EB"/>
    <w:rsid w:val="00D65343"/>
    <w:rsid w:val="00D65437"/>
    <w:rsid w:val="00D65C78"/>
    <w:rsid w:val="00D65E87"/>
    <w:rsid w:val="00D674E5"/>
    <w:rsid w:val="00D7292C"/>
    <w:rsid w:val="00D74FE5"/>
    <w:rsid w:val="00D764D7"/>
    <w:rsid w:val="00D8098F"/>
    <w:rsid w:val="00D81855"/>
    <w:rsid w:val="00D82FF7"/>
    <w:rsid w:val="00D847FE"/>
    <w:rsid w:val="00D8545B"/>
    <w:rsid w:val="00D85CEF"/>
    <w:rsid w:val="00D86F21"/>
    <w:rsid w:val="00D87322"/>
    <w:rsid w:val="00D91ADC"/>
    <w:rsid w:val="00D91D6D"/>
    <w:rsid w:val="00D92431"/>
    <w:rsid w:val="00D928A9"/>
    <w:rsid w:val="00D931DC"/>
    <w:rsid w:val="00D939D6"/>
    <w:rsid w:val="00D93D16"/>
    <w:rsid w:val="00D93E4C"/>
    <w:rsid w:val="00D953EA"/>
    <w:rsid w:val="00D96198"/>
    <w:rsid w:val="00D96260"/>
    <w:rsid w:val="00D964EA"/>
    <w:rsid w:val="00D966D0"/>
    <w:rsid w:val="00D972D4"/>
    <w:rsid w:val="00D979E6"/>
    <w:rsid w:val="00DA017A"/>
    <w:rsid w:val="00DA0C59"/>
    <w:rsid w:val="00DA1F87"/>
    <w:rsid w:val="00DA2112"/>
    <w:rsid w:val="00DA25EA"/>
    <w:rsid w:val="00DA2716"/>
    <w:rsid w:val="00DA3991"/>
    <w:rsid w:val="00DA3F8B"/>
    <w:rsid w:val="00DA4953"/>
    <w:rsid w:val="00DA4C8F"/>
    <w:rsid w:val="00DA7B4D"/>
    <w:rsid w:val="00DB050C"/>
    <w:rsid w:val="00DB0990"/>
    <w:rsid w:val="00DB1323"/>
    <w:rsid w:val="00DB2E7F"/>
    <w:rsid w:val="00DB3FDA"/>
    <w:rsid w:val="00DB4C69"/>
    <w:rsid w:val="00DB5B51"/>
    <w:rsid w:val="00DB61A4"/>
    <w:rsid w:val="00DB7E6C"/>
    <w:rsid w:val="00DC0E0C"/>
    <w:rsid w:val="00DC1E38"/>
    <w:rsid w:val="00DC3126"/>
    <w:rsid w:val="00DC4B25"/>
    <w:rsid w:val="00DC5743"/>
    <w:rsid w:val="00DC6D0D"/>
    <w:rsid w:val="00DD05CF"/>
    <w:rsid w:val="00DD090A"/>
    <w:rsid w:val="00DD5394"/>
    <w:rsid w:val="00DD5A29"/>
    <w:rsid w:val="00DD5D9D"/>
    <w:rsid w:val="00DD5EFA"/>
    <w:rsid w:val="00DD5FFC"/>
    <w:rsid w:val="00DD60A6"/>
    <w:rsid w:val="00DD78E9"/>
    <w:rsid w:val="00DD7A2A"/>
    <w:rsid w:val="00DD7A7B"/>
    <w:rsid w:val="00DE0165"/>
    <w:rsid w:val="00DE1926"/>
    <w:rsid w:val="00DE2CC8"/>
    <w:rsid w:val="00DE32AA"/>
    <w:rsid w:val="00DE35CB"/>
    <w:rsid w:val="00DE3A2A"/>
    <w:rsid w:val="00DE4444"/>
    <w:rsid w:val="00DE4977"/>
    <w:rsid w:val="00DE6260"/>
    <w:rsid w:val="00DE7A8E"/>
    <w:rsid w:val="00DF00FA"/>
    <w:rsid w:val="00DF03B1"/>
    <w:rsid w:val="00DF123A"/>
    <w:rsid w:val="00DF21E9"/>
    <w:rsid w:val="00DF26CC"/>
    <w:rsid w:val="00DF2F08"/>
    <w:rsid w:val="00DF42DC"/>
    <w:rsid w:val="00DF4779"/>
    <w:rsid w:val="00DF5393"/>
    <w:rsid w:val="00DF6263"/>
    <w:rsid w:val="00DF64D9"/>
    <w:rsid w:val="00DF75DB"/>
    <w:rsid w:val="00DF783B"/>
    <w:rsid w:val="00DF7869"/>
    <w:rsid w:val="00DF7A9E"/>
    <w:rsid w:val="00E002DA"/>
    <w:rsid w:val="00E00BCE"/>
    <w:rsid w:val="00E00BF2"/>
    <w:rsid w:val="00E00F14"/>
    <w:rsid w:val="00E03D17"/>
    <w:rsid w:val="00E04D52"/>
    <w:rsid w:val="00E04FF9"/>
    <w:rsid w:val="00E053EE"/>
    <w:rsid w:val="00E06386"/>
    <w:rsid w:val="00E06492"/>
    <w:rsid w:val="00E072B1"/>
    <w:rsid w:val="00E072FD"/>
    <w:rsid w:val="00E10322"/>
    <w:rsid w:val="00E10612"/>
    <w:rsid w:val="00E10C2C"/>
    <w:rsid w:val="00E11AA7"/>
    <w:rsid w:val="00E1225C"/>
    <w:rsid w:val="00E14CAF"/>
    <w:rsid w:val="00E14D5F"/>
    <w:rsid w:val="00E14DB5"/>
    <w:rsid w:val="00E14E03"/>
    <w:rsid w:val="00E1548C"/>
    <w:rsid w:val="00E17E8B"/>
    <w:rsid w:val="00E20097"/>
    <w:rsid w:val="00E22856"/>
    <w:rsid w:val="00E22A7E"/>
    <w:rsid w:val="00E22F15"/>
    <w:rsid w:val="00E23CFA"/>
    <w:rsid w:val="00E24EB4"/>
    <w:rsid w:val="00E253A5"/>
    <w:rsid w:val="00E25926"/>
    <w:rsid w:val="00E25DA6"/>
    <w:rsid w:val="00E27B7A"/>
    <w:rsid w:val="00E30B38"/>
    <w:rsid w:val="00E30EBA"/>
    <w:rsid w:val="00E320ED"/>
    <w:rsid w:val="00E32BE7"/>
    <w:rsid w:val="00E33AFB"/>
    <w:rsid w:val="00E33D79"/>
    <w:rsid w:val="00E34218"/>
    <w:rsid w:val="00E36403"/>
    <w:rsid w:val="00E40307"/>
    <w:rsid w:val="00E41F4A"/>
    <w:rsid w:val="00E423CF"/>
    <w:rsid w:val="00E43161"/>
    <w:rsid w:val="00E437C5"/>
    <w:rsid w:val="00E44F01"/>
    <w:rsid w:val="00E454C4"/>
    <w:rsid w:val="00E45C25"/>
    <w:rsid w:val="00E460F4"/>
    <w:rsid w:val="00E46282"/>
    <w:rsid w:val="00E500BB"/>
    <w:rsid w:val="00E5172E"/>
    <w:rsid w:val="00E51E72"/>
    <w:rsid w:val="00E5216E"/>
    <w:rsid w:val="00E54B56"/>
    <w:rsid w:val="00E569EA"/>
    <w:rsid w:val="00E571A3"/>
    <w:rsid w:val="00E57D49"/>
    <w:rsid w:val="00E611AA"/>
    <w:rsid w:val="00E611BA"/>
    <w:rsid w:val="00E6174F"/>
    <w:rsid w:val="00E61D3E"/>
    <w:rsid w:val="00E62C93"/>
    <w:rsid w:val="00E62F79"/>
    <w:rsid w:val="00E64259"/>
    <w:rsid w:val="00E64AB9"/>
    <w:rsid w:val="00E64B6F"/>
    <w:rsid w:val="00E65A19"/>
    <w:rsid w:val="00E65EEE"/>
    <w:rsid w:val="00E65FB3"/>
    <w:rsid w:val="00E6733F"/>
    <w:rsid w:val="00E6789B"/>
    <w:rsid w:val="00E72F84"/>
    <w:rsid w:val="00E7323C"/>
    <w:rsid w:val="00E734F5"/>
    <w:rsid w:val="00E73823"/>
    <w:rsid w:val="00E73FBF"/>
    <w:rsid w:val="00E74C4B"/>
    <w:rsid w:val="00E76870"/>
    <w:rsid w:val="00E77DD2"/>
    <w:rsid w:val="00E801A3"/>
    <w:rsid w:val="00E80A9D"/>
    <w:rsid w:val="00E81DA8"/>
    <w:rsid w:val="00E81DDA"/>
    <w:rsid w:val="00E82344"/>
    <w:rsid w:val="00E83302"/>
    <w:rsid w:val="00E8342E"/>
    <w:rsid w:val="00E835BF"/>
    <w:rsid w:val="00E840B1"/>
    <w:rsid w:val="00E84102"/>
    <w:rsid w:val="00E849CD"/>
    <w:rsid w:val="00E84C82"/>
    <w:rsid w:val="00E84D64"/>
    <w:rsid w:val="00E87408"/>
    <w:rsid w:val="00E90668"/>
    <w:rsid w:val="00E9083E"/>
    <w:rsid w:val="00E90E2C"/>
    <w:rsid w:val="00E914C4"/>
    <w:rsid w:val="00E91BB1"/>
    <w:rsid w:val="00E92B03"/>
    <w:rsid w:val="00E92DE9"/>
    <w:rsid w:val="00E934F5"/>
    <w:rsid w:val="00E945D4"/>
    <w:rsid w:val="00E95741"/>
    <w:rsid w:val="00E96961"/>
    <w:rsid w:val="00E977D1"/>
    <w:rsid w:val="00E97C4F"/>
    <w:rsid w:val="00EA03EA"/>
    <w:rsid w:val="00EA0744"/>
    <w:rsid w:val="00EA0F2D"/>
    <w:rsid w:val="00EA175A"/>
    <w:rsid w:val="00EA40B9"/>
    <w:rsid w:val="00EA5251"/>
    <w:rsid w:val="00EA72EC"/>
    <w:rsid w:val="00EA7365"/>
    <w:rsid w:val="00EB11CB"/>
    <w:rsid w:val="00EB275A"/>
    <w:rsid w:val="00EB2F52"/>
    <w:rsid w:val="00EB3759"/>
    <w:rsid w:val="00EB3B81"/>
    <w:rsid w:val="00EB407D"/>
    <w:rsid w:val="00EB6FF4"/>
    <w:rsid w:val="00EB7559"/>
    <w:rsid w:val="00EB786A"/>
    <w:rsid w:val="00EC131A"/>
    <w:rsid w:val="00EC1578"/>
    <w:rsid w:val="00EC1C72"/>
    <w:rsid w:val="00EC2057"/>
    <w:rsid w:val="00EC2209"/>
    <w:rsid w:val="00EC2835"/>
    <w:rsid w:val="00EC2AE2"/>
    <w:rsid w:val="00EC3CC9"/>
    <w:rsid w:val="00EC4BBC"/>
    <w:rsid w:val="00EC4F4D"/>
    <w:rsid w:val="00EC54A2"/>
    <w:rsid w:val="00EC680A"/>
    <w:rsid w:val="00EC70B7"/>
    <w:rsid w:val="00ED0A35"/>
    <w:rsid w:val="00ED13FE"/>
    <w:rsid w:val="00ED1CF7"/>
    <w:rsid w:val="00ED32C0"/>
    <w:rsid w:val="00ED42B8"/>
    <w:rsid w:val="00ED57BC"/>
    <w:rsid w:val="00ED59C4"/>
    <w:rsid w:val="00ED5A78"/>
    <w:rsid w:val="00ED63F2"/>
    <w:rsid w:val="00ED6E2D"/>
    <w:rsid w:val="00ED710F"/>
    <w:rsid w:val="00ED7FDB"/>
    <w:rsid w:val="00EE04DB"/>
    <w:rsid w:val="00EE1A4C"/>
    <w:rsid w:val="00EE26D9"/>
    <w:rsid w:val="00EE2BED"/>
    <w:rsid w:val="00EE374B"/>
    <w:rsid w:val="00EE4099"/>
    <w:rsid w:val="00EE4D7D"/>
    <w:rsid w:val="00EE5A4D"/>
    <w:rsid w:val="00EE6CE5"/>
    <w:rsid w:val="00EE78E4"/>
    <w:rsid w:val="00EE7D1F"/>
    <w:rsid w:val="00EF0A51"/>
    <w:rsid w:val="00EF11D6"/>
    <w:rsid w:val="00EF2860"/>
    <w:rsid w:val="00EF3677"/>
    <w:rsid w:val="00EF47F8"/>
    <w:rsid w:val="00EF5C8B"/>
    <w:rsid w:val="00F001E5"/>
    <w:rsid w:val="00F0104D"/>
    <w:rsid w:val="00F01F7A"/>
    <w:rsid w:val="00F035C1"/>
    <w:rsid w:val="00F04326"/>
    <w:rsid w:val="00F04EDD"/>
    <w:rsid w:val="00F0532C"/>
    <w:rsid w:val="00F05898"/>
    <w:rsid w:val="00F0773B"/>
    <w:rsid w:val="00F10E08"/>
    <w:rsid w:val="00F11BB5"/>
    <w:rsid w:val="00F12757"/>
    <w:rsid w:val="00F135CA"/>
    <w:rsid w:val="00F1417B"/>
    <w:rsid w:val="00F151B5"/>
    <w:rsid w:val="00F171CC"/>
    <w:rsid w:val="00F17A21"/>
    <w:rsid w:val="00F2092C"/>
    <w:rsid w:val="00F20E04"/>
    <w:rsid w:val="00F2137E"/>
    <w:rsid w:val="00F218FC"/>
    <w:rsid w:val="00F2278A"/>
    <w:rsid w:val="00F23884"/>
    <w:rsid w:val="00F24835"/>
    <w:rsid w:val="00F24896"/>
    <w:rsid w:val="00F260A2"/>
    <w:rsid w:val="00F2614C"/>
    <w:rsid w:val="00F266F8"/>
    <w:rsid w:val="00F26859"/>
    <w:rsid w:val="00F26E65"/>
    <w:rsid w:val="00F30860"/>
    <w:rsid w:val="00F32F1C"/>
    <w:rsid w:val="00F34575"/>
    <w:rsid w:val="00F34B99"/>
    <w:rsid w:val="00F35303"/>
    <w:rsid w:val="00F3599A"/>
    <w:rsid w:val="00F40CC8"/>
    <w:rsid w:val="00F40FBA"/>
    <w:rsid w:val="00F41625"/>
    <w:rsid w:val="00F41AA2"/>
    <w:rsid w:val="00F425A6"/>
    <w:rsid w:val="00F42D16"/>
    <w:rsid w:val="00F42E53"/>
    <w:rsid w:val="00F44C24"/>
    <w:rsid w:val="00F4531A"/>
    <w:rsid w:val="00F46E37"/>
    <w:rsid w:val="00F50965"/>
    <w:rsid w:val="00F50F62"/>
    <w:rsid w:val="00F52C98"/>
    <w:rsid w:val="00F52DAB"/>
    <w:rsid w:val="00F5338C"/>
    <w:rsid w:val="00F543F0"/>
    <w:rsid w:val="00F56EF0"/>
    <w:rsid w:val="00F60159"/>
    <w:rsid w:val="00F611FB"/>
    <w:rsid w:val="00F61A89"/>
    <w:rsid w:val="00F623E3"/>
    <w:rsid w:val="00F62438"/>
    <w:rsid w:val="00F634CF"/>
    <w:rsid w:val="00F6636D"/>
    <w:rsid w:val="00F66A87"/>
    <w:rsid w:val="00F70027"/>
    <w:rsid w:val="00F7054D"/>
    <w:rsid w:val="00F70D7E"/>
    <w:rsid w:val="00F7209C"/>
    <w:rsid w:val="00F7228A"/>
    <w:rsid w:val="00F7371F"/>
    <w:rsid w:val="00F73837"/>
    <w:rsid w:val="00F73E72"/>
    <w:rsid w:val="00F73F83"/>
    <w:rsid w:val="00F75950"/>
    <w:rsid w:val="00F75A12"/>
    <w:rsid w:val="00F77C7F"/>
    <w:rsid w:val="00F80074"/>
    <w:rsid w:val="00F80B1E"/>
    <w:rsid w:val="00F819A3"/>
    <w:rsid w:val="00F81A3A"/>
    <w:rsid w:val="00F81D29"/>
    <w:rsid w:val="00F8456D"/>
    <w:rsid w:val="00F84B29"/>
    <w:rsid w:val="00F84D4C"/>
    <w:rsid w:val="00F85827"/>
    <w:rsid w:val="00F91C4D"/>
    <w:rsid w:val="00F92FD9"/>
    <w:rsid w:val="00F9476F"/>
    <w:rsid w:val="00F949AF"/>
    <w:rsid w:val="00F95136"/>
    <w:rsid w:val="00F95D9A"/>
    <w:rsid w:val="00F975FB"/>
    <w:rsid w:val="00FA0110"/>
    <w:rsid w:val="00FA083A"/>
    <w:rsid w:val="00FA08A1"/>
    <w:rsid w:val="00FA0A8E"/>
    <w:rsid w:val="00FA0D83"/>
    <w:rsid w:val="00FA1ADA"/>
    <w:rsid w:val="00FA1B05"/>
    <w:rsid w:val="00FA214F"/>
    <w:rsid w:val="00FA215B"/>
    <w:rsid w:val="00FA249D"/>
    <w:rsid w:val="00FA3188"/>
    <w:rsid w:val="00FA3E2E"/>
    <w:rsid w:val="00FA443B"/>
    <w:rsid w:val="00FA460E"/>
    <w:rsid w:val="00FA58AF"/>
    <w:rsid w:val="00FA6082"/>
    <w:rsid w:val="00FA611F"/>
    <w:rsid w:val="00FA6684"/>
    <w:rsid w:val="00FA6DFD"/>
    <w:rsid w:val="00FA731E"/>
    <w:rsid w:val="00FB085C"/>
    <w:rsid w:val="00FB0D6A"/>
    <w:rsid w:val="00FB2640"/>
    <w:rsid w:val="00FB2B38"/>
    <w:rsid w:val="00FB6CF0"/>
    <w:rsid w:val="00FB7844"/>
    <w:rsid w:val="00FC024F"/>
    <w:rsid w:val="00FC2154"/>
    <w:rsid w:val="00FC39AA"/>
    <w:rsid w:val="00FC41F4"/>
    <w:rsid w:val="00FC4EF4"/>
    <w:rsid w:val="00FC4FAF"/>
    <w:rsid w:val="00FC5021"/>
    <w:rsid w:val="00FC6358"/>
    <w:rsid w:val="00FC6A1C"/>
    <w:rsid w:val="00FD01CF"/>
    <w:rsid w:val="00FD0CFA"/>
    <w:rsid w:val="00FD128D"/>
    <w:rsid w:val="00FD2E0D"/>
    <w:rsid w:val="00FD320D"/>
    <w:rsid w:val="00FD38ED"/>
    <w:rsid w:val="00FD4610"/>
    <w:rsid w:val="00FD6FE1"/>
    <w:rsid w:val="00FE0783"/>
    <w:rsid w:val="00FE1DB7"/>
    <w:rsid w:val="00FE1F2F"/>
    <w:rsid w:val="00FE23DE"/>
    <w:rsid w:val="00FE2BA4"/>
    <w:rsid w:val="00FE3FFC"/>
    <w:rsid w:val="00FE6EDF"/>
    <w:rsid w:val="00FF0AC1"/>
    <w:rsid w:val="00FF1070"/>
    <w:rsid w:val="00FF1535"/>
    <w:rsid w:val="00FF42E6"/>
    <w:rsid w:val="00FF43F9"/>
    <w:rsid w:val="00FF4FA1"/>
    <w:rsid w:val="00FF63AA"/>
    <w:rsid w:val="00FF7C23"/>
    <w:rsid w:val="01C310D9"/>
    <w:rsid w:val="02E84657"/>
    <w:rsid w:val="04DF6C8C"/>
    <w:rsid w:val="050140F6"/>
    <w:rsid w:val="053C0307"/>
    <w:rsid w:val="05C375FE"/>
    <w:rsid w:val="05D76C05"/>
    <w:rsid w:val="06506FEC"/>
    <w:rsid w:val="0AAA55B3"/>
    <w:rsid w:val="0ACB31DC"/>
    <w:rsid w:val="0B025CD4"/>
    <w:rsid w:val="0BBC7BB2"/>
    <w:rsid w:val="0BF71DAF"/>
    <w:rsid w:val="0C1758DA"/>
    <w:rsid w:val="0CAC48BB"/>
    <w:rsid w:val="0CDC201E"/>
    <w:rsid w:val="10D751DD"/>
    <w:rsid w:val="11C653FD"/>
    <w:rsid w:val="141540C6"/>
    <w:rsid w:val="14D013EF"/>
    <w:rsid w:val="154961C1"/>
    <w:rsid w:val="156D449A"/>
    <w:rsid w:val="15A0411F"/>
    <w:rsid w:val="172F7D6D"/>
    <w:rsid w:val="194D03CC"/>
    <w:rsid w:val="196A6842"/>
    <w:rsid w:val="1B446D34"/>
    <w:rsid w:val="1B8C7DFA"/>
    <w:rsid w:val="1D2736C3"/>
    <w:rsid w:val="1E8E20FF"/>
    <w:rsid w:val="1F465E2D"/>
    <w:rsid w:val="1F540602"/>
    <w:rsid w:val="1FF74256"/>
    <w:rsid w:val="20340A84"/>
    <w:rsid w:val="20F743AA"/>
    <w:rsid w:val="217F3A8E"/>
    <w:rsid w:val="23642047"/>
    <w:rsid w:val="236B64C9"/>
    <w:rsid w:val="250D560D"/>
    <w:rsid w:val="269334AB"/>
    <w:rsid w:val="278A18D2"/>
    <w:rsid w:val="29051210"/>
    <w:rsid w:val="2AF41B4D"/>
    <w:rsid w:val="2BE759E0"/>
    <w:rsid w:val="2BE772F2"/>
    <w:rsid w:val="2D140B8B"/>
    <w:rsid w:val="2D984D48"/>
    <w:rsid w:val="2DFDF403"/>
    <w:rsid w:val="2EF7784D"/>
    <w:rsid w:val="2F0722ED"/>
    <w:rsid w:val="30887083"/>
    <w:rsid w:val="308A649E"/>
    <w:rsid w:val="337A251C"/>
    <w:rsid w:val="346C0B2C"/>
    <w:rsid w:val="351D6BDA"/>
    <w:rsid w:val="352754C6"/>
    <w:rsid w:val="364D41F6"/>
    <w:rsid w:val="36E9786D"/>
    <w:rsid w:val="376130C9"/>
    <w:rsid w:val="37C232FF"/>
    <w:rsid w:val="38D324B0"/>
    <w:rsid w:val="3950248D"/>
    <w:rsid w:val="39C63C7F"/>
    <w:rsid w:val="39DB75FA"/>
    <w:rsid w:val="3A887EF3"/>
    <w:rsid w:val="3BAC6DE1"/>
    <w:rsid w:val="3CA65D5F"/>
    <w:rsid w:val="3F9701EB"/>
    <w:rsid w:val="3FFD1276"/>
    <w:rsid w:val="3FFD6C68"/>
    <w:rsid w:val="40362C79"/>
    <w:rsid w:val="40C15F0C"/>
    <w:rsid w:val="40CF6FE7"/>
    <w:rsid w:val="418B73BB"/>
    <w:rsid w:val="44A02BBF"/>
    <w:rsid w:val="44DD0E3B"/>
    <w:rsid w:val="44F17107"/>
    <w:rsid w:val="451E1B7F"/>
    <w:rsid w:val="458978FD"/>
    <w:rsid w:val="47880625"/>
    <w:rsid w:val="47BE4CDD"/>
    <w:rsid w:val="4B1F1C72"/>
    <w:rsid w:val="4B8B69BD"/>
    <w:rsid w:val="4C663CE3"/>
    <w:rsid w:val="4E624506"/>
    <w:rsid w:val="4E8376D0"/>
    <w:rsid w:val="4FB8172D"/>
    <w:rsid w:val="50D2381E"/>
    <w:rsid w:val="50EA49AE"/>
    <w:rsid w:val="520243C7"/>
    <w:rsid w:val="53400F13"/>
    <w:rsid w:val="535D6D7E"/>
    <w:rsid w:val="53BD2959"/>
    <w:rsid w:val="55256902"/>
    <w:rsid w:val="568730A9"/>
    <w:rsid w:val="568C0FA1"/>
    <w:rsid w:val="57B79D32"/>
    <w:rsid w:val="58AB6E2E"/>
    <w:rsid w:val="59D84B0C"/>
    <w:rsid w:val="5A88195A"/>
    <w:rsid w:val="5AA004E9"/>
    <w:rsid w:val="5B0F4685"/>
    <w:rsid w:val="5B2F28D0"/>
    <w:rsid w:val="5CA13881"/>
    <w:rsid w:val="5D4B7B1C"/>
    <w:rsid w:val="5E0537CF"/>
    <w:rsid w:val="5E3801D1"/>
    <w:rsid w:val="5E940E16"/>
    <w:rsid w:val="5F724979"/>
    <w:rsid w:val="5FE665AB"/>
    <w:rsid w:val="64EA3F2D"/>
    <w:rsid w:val="6518584B"/>
    <w:rsid w:val="65BB3263"/>
    <w:rsid w:val="65C27739"/>
    <w:rsid w:val="665B4049"/>
    <w:rsid w:val="68651DD9"/>
    <w:rsid w:val="68981084"/>
    <w:rsid w:val="6A2F678A"/>
    <w:rsid w:val="6A786D8C"/>
    <w:rsid w:val="6B403D4E"/>
    <w:rsid w:val="6BFF4895"/>
    <w:rsid w:val="6C5D448C"/>
    <w:rsid w:val="6C6F7383"/>
    <w:rsid w:val="6E670B27"/>
    <w:rsid w:val="6E694933"/>
    <w:rsid w:val="70757FF6"/>
    <w:rsid w:val="70F730E8"/>
    <w:rsid w:val="71314E0F"/>
    <w:rsid w:val="717A56C5"/>
    <w:rsid w:val="73B11687"/>
    <w:rsid w:val="74D000BE"/>
    <w:rsid w:val="75121739"/>
    <w:rsid w:val="75593DFC"/>
    <w:rsid w:val="76051E1C"/>
    <w:rsid w:val="760B6D06"/>
    <w:rsid w:val="76A84E99"/>
    <w:rsid w:val="77612D90"/>
    <w:rsid w:val="78D22F3E"/>
    <w:rsid w:val="79245376"/>
    <w:rsid w:val="79FF0F6F"/>
    <w:rsid w:val="7C5527E6"/>
    <w:rsid w:val="7D6706F2"/>
    <w:rsid w:val="7DA74FEC"/>
    <w:rsid w:val="7DB8500C"/>
    <w:rsid w:val="7DF662A9"/>
    <w:rsid w:val="7F8C3D10"/>
    <w:rsid w:val="7FBF5C85"/>
    <w:rsid w:val="7FEFE70D"/>
    <w:rsid w:val="8F2605EB"/>
    <w:rsid w:val="AF5C0595"/>
    <w:rsid w:val="BDBBC426"/>
    <w:rsid w:val="BEB5548F"/>
    <w:rsid w:val="BFFB871A"/>
    <w:rsid w:val="BFFF31BE"/>
    <w:rsid w:val="C9FBF5DA"/>
    <w:rsid w:val="CF3FAEC2"/>
    <w:rsid w:val="DDBD3EDC"/>
    <w:rsid w:val="DEDFE534"/>
    <w:rsid w:val="E97FC376"/>
    <w:rsid w:val="EF8F9B68"/>
    <w:rsid w:val="EFDC459A"/>
    <w:rsid w:val="FB754730"/>
    <w:rsid w:val="FF777649"/>
    <w:rsid w:val="FF7EEF73"/>
    <w:rsid w:val="FFAA9AF7"/>
    <w:rsid w:val="FFAFB18A"/>
    <w:rsid w:val="FFBFE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center"/>
    </w:pPr>
    <w:rPr>
      <w:rFonts w:ascii="宋体" w:hAnsi="宋体" w:eastAsia="宋体" w:cs="Times New Roman"/>
      <w:kern w:val="2"/>
      <w:sz w:val="21"/>
      <w:szCs w:val="24"/>
      <w:lang w:val="en-US" w:eastAsia="zh-CN" w:bidi="ar-SA"/>
    </w:rPr>
  </w:style>
  <w:style w:type="paragraph" w:styleId="3">
    <w:name w:val="heading 1"/>
    <w:basedOn w:val="1"/>
    <w:next w:val="1"/>
    <w:link w:val="57"/>
    <w:autoRedefine/>
    <w:qFormat/>
    <w:uiPriority w:val="1"/>
    <w:pPr>
      <w:keepNext/>
      <w:keepLines/>
      <w:widowControl/>
      <w:numPr>
        <w:ilvl w:val="0"/>
        <w:numId w:val="1"/>
      </w:numPr>
      <w:adjustRightInd w:val="0"/>
      <w:spacing w:before="312" w:beforeLines="100" w:after="156" w:afterLines="50"/>
      <w:outlineLvl w:val="0"/>
    </w:pPr>
    <w:rPr>
      <w:b/>
      <w:bCs/>
      <w:sz w:val="32"/>
      <w:szCs w:val="28"/>
      <w:lang w:eastAsia="ja-JP"/>
    </w:rPr>
  </w:style>
  <w:style w:type="paragraph" w:styleId="4">
    <w:name w:val="heading 2"/>
    <w:basedOn w:val="1"/>
    <w:next w:val="1"/>
    <w:link w:val="58"/>
    <w:autoRedefine/>
    <w:qFormat/>
    <w:uiPriority w:val="1"/>
    <w:pPr>
      <w:keepNext/>
      <w:keepLines/>
      <w:widowControl/>
      <w:numPr>
        <w:ilvl w:val="1"/>
        <w:numId w:val="1"/>
      </w:numPr>
      <w:adjustRightInd w:val="0"/>
      <w:spacing w:before="240" w:after="120"/>
      <w:ind w:left="1138" w:hanging="1138"/>
      <w:outlineLvl w:val="1"/>
    </w:pPr>
    <w:rPr>
      <w:b/>
      <w:bCs/>
      <w:sz w:val="30"/>
      <w:szCs w:val="32"/>
    </w:rPr>
  </w:style>
  <w:style w:type="paragraph" w:styleId="5">
    <w:name w:val="heading 3"/>
    <w:basedOn w:val="1"/>
    <w:next w:val="1"/>
    <w:link w:val="59"/>
    <w:autoRedefine/>
    <w:qFormat/>
    <w:uiPriority w:val="1"/>
    <w:pPr>
      <w:keepNext/>
      <w:keepLines/>
      <w:widowControl/>
      <w:numPr>
        <w:ilvl w:val="2"/>
        <w:numId w:val="1"/>
      </w:numPr>
      <w:adjustRightInd w:val="0"/>
      <w:spacing w:before="240" w:after="120"/>
      <w:outlineLvl w:val="2"/>
    </w:pPr>
    <w:rPr>
      <w:b/>
      <w:bCs/>
      <w:sz w:val="28"/>
      <w:szCs w:val="32"/>
    </w:rPr>
  </w:style>
  <w:style w:type="paragraph" w:styleId="6">
    <w:name w:val="heading 4"/>
    <w:basedOn w:val="1"/>
    <w:next w:val="1"/>
    <w:link w:val="60"/>
    <w:autoRedefine/>
    <w:qFormat/>
    <w:uiPriority w:val="1"/>
    <w:pPr>
      <w:keepNext/>
      <w:keepLines/>
      <w:widowControl/>
      <w:numPr>
        <w:ilvl w:val="3"/>
        <w:numId w:val="1"/>
      </w:numPr>
      <w:spacing w:before="240" w:after="120"/>
      <w:ind w:left="200" w:hanging="200" w:hangingChars="200"/>
      <w:outlineLvl w:val="3"/>
    </w:pPr>
    <w:rPr>
      <w:b/>
      <w:bCs/>
      <w:sz w:val="26"/>
      <w:szCs w:val="28"/>
    </w:rPr>
  </w:style>
  <w:style w:type="paragraph" w:styleId="7">
    <w:name w:val="heading 5"/>
    <w:basedOn w:val="1"/>
    <w:next w:val="1"/>
    <w:link w:val="61"/>
    <w:autoRedefine/>
    <w:qFormat/>
    <w:uiPriority w:val="1"/>
    <w:pPr>
      <w:keepNext/>
      <w:keepLines/>
      <w:widowControl/>
      <w:numPr>
        <w:ilvl w:val="4"/>
        <w:numId w:val="1"/>
      </w:numPr>
      <w:spacing w:before="240" w:after="120"/>
      <w:outlineLvl w:val="4"/>
    </w:pPr>
    <w:rPr>
      <w:rFonts w:eastAsia="黑体"/>
      <w:b/>
      <w:bCs/>
      <w:sz w:val="24"/>
      <w:szCs w:val="28"/>
    </w:rPr>
  </w:style>
  <w:style w:type="paragraph" w:styleId="8">
    <w:name w:val="heading 6"/>
    <w:basedOn w:val="1"/>
    <w:next w:val="1"/>
    <w:link w:val="62"/>
    <w:autoRedefine/>
    <w:qFormat/>
    <w:uiPriority w:val="9"/>
    <w:pPr>
      <w:keepNext/>
      <w:keepLines/>
      <w:widowControl/>
      <w:numPr>
        <w:ilvl w:val="5"/>
        <w:numId w:val="1"/>
      </w:numPr>
      <w:spacing w:before="240" w:after="120"/>
      <w:outlineLvl w:val="5"/>
    </w:pPr>
    <w:rPr>
      <w:b/>
      <w:bCs/>
      <w:sz w:val="24"/>
      <w:szCs w:val="21"/>
    </w:rPr>
  </w:style>
  <w:style w:type="paragraph" w:styleId="9">
    <w:name w:val="heading 7"/>
    <w:basedOn w:val="1"/>
    <w:next w:val="1"/>
    <w:link w:val="63"/>
    <w:autoRedefine/>
    <w:qFormat/>
    <w:uiPriority w:val="9"/>
    <w:pPr>
      <w:keepNext/>
      <w:keepLines/>
      <w:widowControl/>
      <w:numPr>
        <w:ilvl w:val="6"/>
        <w:numId w:val="1"/>
      </w:numPr>
      <w:spacing w:before="240" w:after="120"/>
      <w:outlineLvl w:val="6"/>
    </w:pPr>
    <w:rPr>
      <w:rFonts w:eastAsia="黑体"/>
      <w:bCs/>
      <w:sz w:val="24"/>
      <w:szCs w:val="21"/>
    </w:rPr>
  </w:style>
  <w:style w:type="paragraph" w:styleId="10">
    <w:name w:val="heading 8"/>
    <w:basedOn w:val="1"/>
    <w:next w:val="1"/>
    <w:link w:val="64"/>
    <w:autoRedefine/>
    <w:qFormat/>
    <w:uiPriority w:val="9"/>
    <w:pPr>
      <w:keepNext/>
      <w:keepLines/>
      <w:widowControl/>
      <w:numPr>
        <w:ilvl w:val="7"/>
        <w:numId w:val="1"/>
      </w:numPr>
      <w:spacing w:before="240" w:after="120"/>
      <w:outlineLvl w:val="7"/>
    </w:pPr>
    <w:rPr>
      <w:sz w:val="24"/>
      <w:szCs w:val="21"/>
    </w:rPr>
  </w:style>
  <w:style w:type="paragraph" w:styleId="11">
    <w:name w:val="heading 9"/>
    <w:basedOn w:val="1"/>
    <w:next w:val="1"/>
    <w:link w:val="65"/>
    <w:autoRedefine/>
    <w:qFormat/>
    <w:uiPriority w:val="9"/>
    <w:pPr>
      <w:keepNext/>
      <w:keepLines/>
      <w:widowControl/>
      <w:numPr>
        <w:ilvl w:val="8"/>
        <w:numId w:val="1"/>
      </w:numPr>
      <w:spacing w:before="240" w:after="120"/>
      <w:outlineLvl w:val="8"/>
    </w:pPr>
    <w:rPr>
      <w:sz w:val="24"/>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rFonts w:ascii="黑体" w:hAnsi="黑体" w:eastAsia="黑体"/>
      <w:kern w:val="0"/>
      <w:szCs w:val="20"/>
    </w:rPr>
  </w:style>
  <w:style w:type="paragraph" w:styleId="12">
    <w:name w:val="toc 7"/>
    <w:basedOn w:val="1"/>
    <w:next w:val="1"/>
    <w:autoRedefine/>
    <w:semiHidden/>
    <w:qFormat/>
    <w:uiPriority w:val="0"/>
    <w:pPr>
      <w:tabs>
        <w:tab w:val="right" w:leader="dot" w:pos="9241"/>
      </w:tabs>
      <w:ind w:firstLine="505" w:firstLineChars="500"/>
      <w:jc w:val="left"/>
    </w:pPr>
    <w:rPr>
      <w:szCs w:val="21"/>
    </w:rPr>
  </w:style>
  <w:style w:type="paragraph" w:styleId="13">
    <w:name w:val="index 8"/>
    <w:basedOn w:val="1"/>
    <w:next w:val="1"/>
    <w:autoRedefine/>
    <w:qFormat/>
    <w:uiPriority w:val="0"/>
    <w:pPr>
      <w:ind w:left="1680" w:hanging="210"/>
      <w:jc w:val="left"/>
    </w:pPr>
    <w:rPr>
      <w:rFonts w:ascii="Calibri" w:hAnsi="Calibri"/>
      <w:sz w:val="20"/>
      <w:szCs w:val="20"/>
    </w:rPr>
  </w:style>
  <w:style w:type="paragraph" w:styleId="14">
    <w:name w:val="caption"/>
    <w:basedOn w:val="1"/>
    <w:next w:val="1"/>
    <w:autoRedefine/>
    <w:qFormat/>
    <w:uiPriority w:val="0"/>
    <w:pPr>
      <w:spacing w:before="152" w:after="160"/>
    </w:pPr>
    <w:rPr>
      <w:rFonts w:ascii="Arial" w:hAnsi="Arial" w:eastAsia="黑体" w:cs="Arial"/>
      <w:sz w:val="20"/>
      <w:szCs w:val="20"/>
    </w:rPr>
  </w:style>
  <w:style w:type="paragraph" w:styleId="15">
    <w:name w:val="index 5"/>
    <w:basedOn w:val="1"/>
    <w:next w:val="1"/>
    <w:autoRedefine/>
    <w:qFormat/>
    <w:uiPriority w:val="0"/>
    <w:pPr>
      <w:ind w:left="1050" w:hanging="210"/>
      <w:jc w:val="left"/>
    </w:pPr>
    <w:rPr>
      <w:rFonts w:ascii="Calibri" w:hAnsi="Calibri"/>
      <w:sz w:val="20"/>
      <w:szCs w:val="20"/>
    </w:rPr>
  </w:style>
  <w:style w:type="paragraph" w:styleId="16">
    <w:name w:val="Document Map"/>
    <w:basedOn w:val="1"/>
    <w:autoRedefine/>
    <w:semiHidden/>
    <w:qFormat/>
    <w:uiPriority w:val="0"/>
    <w:pPr>
      <w:shd w:val="clear" w:color="auto" w:fill="000080"/>
    </w:pPr>
  </w:style>
  <w:style w:type="paragraph" w:styleId="17">
    <w:name w:val="annotation text"/>
    <w:basedOn w:val="1"/>
    <w:link w:val="66"/>
    <w:autoRedefine/>
    <w:qFormat/>
    <w:uiPriority w:val="0"/>
    <w:pPr>
      <w:jc w:val="left"/>
    </w:pPr>
  </w:style>
  <w:style w:type="paragraph" w:styleId="18">
    <w:name w:val="index 6"/>
    <w:basedOn w:val="1"/>
    <w:next w:val="1"/>
    <w:autoRedefine/>
    <w:qFormat/>
    <w:uiPriority w:val="0"/>
    <w:pPr>
      <w:ind w:left="1260" w:hanging="210"/>
      <w:jc w:val="left"/>
    </w:pPr>
    <w:rPr>
      <w:rFonts w:ascii="Calibri" w:hAnsi="Calibri"/>
      <w:sz w:val="20"/>
      <w:szCs w:val="20"/>
    </w:rPr>
  </w:style>
  <w:style w:type="paragraph" w:styleId="19">
    <w:name w:val="Body Text"/>
    <w:basedOn w:val="1"/>
    <w:link w:val="67"/>
    <w:autoRedefine/>
    <w:qFormat/>
    <w:uiPriority w:val="0"/>
    <w:pPr>
      <w:autoSpaceDE w:val="0"/>
      <w:autoSpaceDN w:val="0"/>
    </w:pPr>
    <w:rPr>
      <w:rFonts w:ascii="黑体" w:hAnsi="黑体" w:eastAsia="黑体"/>
      <w:kern w:val="0"/>
      <w:szCs w:val="21"/>
      <w:lang w:val="ca-ES" w:eastAsia="en-US"/>
    </w:rPr>
  </w:style>
  <w:style w:type="paragraph" w:styleId="20">
    <w:name w:val="index 4"/>
    <w:basedOn w:val="1"/>
    <w:next w:val="1"/>
    <w:autoRedefine/>
    <w:qFormat/>
    <w:uiPriority w:val="0"/>
    <w:pPr>
      <w:ind w:left="840" w:hanging="210"/>
      <w:jc w:val="left"/>
    </w:pPr>
    <w:rPr>
      <w:rFonts w:ascii="Calibri" w:hAnsi="Calibri"/>
      <w:sz w:val="20"/>
      <w:szCs w:val="20"/>
    </w:rPr>
  </w:style>
  <w:style w:type="paragraph" w:styleId="21">
    <w:name w:val="toc 5"/>
    <w:basedOn w:val="1"/>
    <w:next w:val="1"/>
    <w:autoRedefine/>
    <w:semiHidden/>
    <w:qFormat/>
    <w:uiPriority w:val="0"/>
    <w:pPr>
      <w:tabs>
        <w:tab w:val="right" w:leader="dot" w:pos="9241"/>
      </w:tabs>
      <w:ind w:firstLine="300" w:firstLineChars="300"/>
      <w:jc w:val="left"/>
    </w:pPr>
    <w:rPr>
      <w:szCs w:val="21"/>
    </w:rPr>
  </w:style>
  <w:style w:type="paragraph" w:styleId="22">
    <w:name w:val="toc 3"/>
    <w:basedOn w:val="1"/>
    <w:next w:val="1"/>
    <w:autoRedefine/>
    <w:qFormat/>
    <w:uiPriority w:val="39"/>
    <w:pPr>
      <w:tabs>
        <w:tab w:val="right" w:leader="dot" w:pos="9241"/>
      </w:tabs>
      <w:ind w:firstLine="102" w:firstLineChars="100"/>
      <w:jc w:val="left"/>
    </w:pPr>
    <w:rPr>
      <w:szCs w:val="21"/>
    </w:rPr>
  </w:style>
  <w:style w:type="paragraph" w:styleId="23">
    <w:name w:val="toc 8"/>
    <w:basedOn w:val="1"/>
    <w:next w:val="1"/>
    <w:autoRedefine/>
    <w:semiHidden/>
    <w:qFormat/>
    <w:uiPriority w:val="0"/>
    <w:pPr>
      <w:tabs>
        <w:tab w:val="right" w:leader="dot" w:pos="9241"/>
      </w:tabs>
      <w:ind w:firstLine="607" w:firstLineChars="600"/>
      <w:jc w:val="left"/>
    </w:pPr>
    <w:rPr>
      <w:szCs w:val="21"/>
    </w:rPr>
  </w:style>
  <w:style w:type="paragraph" w:styleId="24">
    <w:name w:val="index 3"/>
    <w:basedOn w:val="1"/>
    <w:next w:val="1"/>
    <w:autoRedefine/>
    <w:qFormat/>
    <w:uiPriority w:val="0"/>
    <w:pPr>
      <w:ind w:left="630" w:hanging="210"/>
      <w:jc w:val="left"/>
    </w:pPr>
    <w:rPr>
      <w:rFonts w:ascii="Calibri" w:hAnsi="Calibri"/>
      <w:sz w:val="20"/>
      <w:szCs w:val="20"/>
    </w:rPr>
  </w:style>
  <w:style w:type="paragraph" w:styleId="25">
    <w:name w:val="Date"/>
    <w:basedOn w:val="1"/>
    <w:next w:val="1"/>
    <w:link w:val="68"/>
    <w:autoRedefine/>
    <w:qFormat/>
    <w:uiPriority w:val="0"/>
    <w:pPr>
      <w:ind w:left="100" w:leftChars="2500"/>
    </w:pPr>
  </w:style>
  <w:style w:type="paragraph" w:styleId="26">
    <w:name w:val="endnote text"/>
    <w:basedOn w:val="1"/>
    <w:autoRedefine/>
    <w:semiHidden/>
    <w:qFormat/>
    <w:uiPriority w:val="0"/>
    <w:pPr>
      <w:snapToGrid w:val="0"/>
      <w:jc w:val="left"/>
    </w:pPr>
  </w:style>
  <w:style w:type="paragraph" w:styleId="27">
    <w:name w:val="Balloon Text"/>
    <w:basedOn w:val="1"/>
    <w:link w:val="69"/>
    <w:autoRedefine/>
    <w:qFormat/>
    <w:uiPriority w:val="99"/>
    <w:rPr>
      <w:rFonts w:ascii="Calibri" w:hAnsi="Calibri" w:cs="Calibri"/>
      <w:sz w:val="18"/>
      <w:szCs w:val="18"/>
    </w:rPr>
  </w:style>
  <w:style w:type="paragraph" w:styleId="28">
    <w:name w:val="footer"/>
    <w:basedOn w:val="1"/>
    <w:link w:val="70"/>
    <w:autoRedefine/>
    <w:qFormat/>
    <w:uiPriority w:val="99"/>
    <w:pPr>
      <w:snapToGrid w:val="0"/>
      <w:ind w:right="210" w:rightChars="100"/>
      <w:jc w:val="right"/>
    </w:pPr>
    <w:rPr>
      <w:sz w:val="18"/>
      <w:szCs w:val="18"/>
    </w:rPr>
  </w:style>
  <w:style w:type="paragraph" w:styleId="29">
    <w:name w:val="header"/>
    <w:basedOn w:val="1"/>
    <w:link w:val="71"/>
    <w:autoRedefine/>
    <w:qFormat/>
    <w:uiPriority w:val="99"/>
    <w:pPr>
      <w:snapToGrid w:val="0"/>
      <w:jc w:val="left"/>
    </w:pPr>
    <w:rPr>
      <w:sz w:val="18"/>
      <w:szCs w:val="18"/>
    </w:rPr>
  </w:style>
  <w:style w:type="paragraph" w:styleId="30">
    <w:name w:val="toc 1"/>
    <w:basedOn w:val="1"/>
    <w:next w:val="1"/>
    <w:autoRedefine/>
    <w:qFormat/>
    <w:uiPriority w:val="39"/>
    <w:pPr>
      <w:tabs>
        <w:tab w:val="right" w:leader="dot" w:pos="9241"/>
      </w:tabs>
      <w:spacing w:before="78" w:beforeLines="25" w:after="78" w:afterLines="25"/>
      <w:jc w:val="left"/>
    </w:pPr>
    <w:rPr>
      <w:szCs w:val="21"/>
    </w:rPr>
  </w:style>
  <w:style w:type="paragraph" w:styleId="31">
    <w:name w:val="toc 4"/>
    <w:basedOn w:val="1"/>
    <w:next w:val="1"/>
    <w:autoRedefine/>
    <w:semiHidden/>
    <w:qFormat/>
    <w:uiPriority w:val="0"/>
    <w:pPr>
      <w:tabs>
        <w:tab w:val="right" w:leader="dot" w:pos="9241"/>
      </w:tabs>
      <w:ind w:firstLine="198" w:firstLineChars="200"/>
      <w:jc w:val="left"/>
    </w:pPr>
    <w:rPr>
      <w:szCs w:val="21"/>
    </w:rPr>
  </w:style>
  <w:style w:type="paragraph" w:styleId="32">
    <w:name w:val="index heading"/>
    <w:basedOn w:val="1"/>
    <w:next w:val="33"/>
    <w:autoRedefine/>
    <w:qFormat/>
    <w:uiPriority w:val="0"/>
    <w:pPr>
      <w:spacing w:before="120" w:after="120"/>
    </w:pPr>
    <w:rPr>
      <w:rFonts w:ascii="Calibri" w:hAnsi="Calibri"/>
      <w:b/>
      <w:bCs/>
      <w:iCs/>
      <w:szCs w:val="20"/>
    </w:rPr>
  </w:style>
  <w:style w:type="paragraph" w:styleId="33">
    <w:name w:val="index 1"/>
    <w:basedOn w:val="1"/>
    <w:next w:val="34"/>
    <w:autoRedefine/>
    <w:qFormat/>
    <w:uiPriority w:val="0"/>
    <w:pPr>
      <w:tabs>
        <w:tab w:val="right" w:leader="dot" w:pos="9299"/>
      </w:tabs>
      <w:jc w:val="left"/>
    </w:pPr>
    <w:rPr>
      <w:szCs w:val="21"/>
    </w:rPr>
  </w:style>
  <w:style w:type="paragraph" w:customStyle="1" w:styleId="34">
    <w:name w:val="段"/>
    <w:link w:val="72"/>
    <w:autoRedefine/>
    <w:qFormat/>
    <w:uiPriority w:val="0"/>
    <w:pPr>
      <w:tabs>
        <w:tab w:val="center" w:pos="4201"/>
        <w:tab w:val="right" w:leader="dot" w:pos="9298"/>
      </w:tabs>
      <w:autoSpaceDE w:val="0"/>
      <w:autoSpaceDN w:val="0"/>
      <w:spacing w:before="50" w:beforeLines="50" w:after="50" w:afterLines="50"/>
      <w:ind w:firstLine="200" w:firstLineChars="200"/>
      <w:jc w:val="both"/>
    </w:pPr>
    <w:rPr>
      <w:rFonts w:ascii="宋体" w:hAnsi="宋体" w:eastAsia="宋体" w:cs="Times New Roman"/>
      <w:sz w:val="24"/>
      <w:lang w:val="en-US" w:eastAsia="zh-CN" w:bidi="ar-SA"/>
    </w:rPr>
  </w:style>
  <w:style w:type="paragraph" w:styleId="35">
    <w:name w:val="footnote text"/>
    <w:basedOn w:val="1"/>
    <w:autoRedefine/>
    <w:qFormat/>
    <w:uiPriority w:val="0"/>
    <w:pPr>
      <w:numPr>
        <w:ilvl w:val="0"/>
        <w:numId w:val="2"/>
      </w:numPr>
      <w:snapToGrid w:val="0"/>
      <w:jc w:val="left"/>
    </w:pPr>
    <w:rPr>
      <w:sz w:val="18"/>
      <w:szCs w:val="18"/>
    </w:rPr>
  </w:style>
  <w:style w:type="paragraph" w:styleId="36">
    <w:name w:val="toc 6"/>
    <w:basedOn w:val="1"/>
    <w:next w:val="1"/>
    <w:autoRedefine/>
    <w:semiHidden/>
    <w:qFormat/>
    <w:uiPriority w:val="0"/>
    <w:pPr>
      <w:tabs>
        <w:tab w:val="right" w:leader="dot" w:pos="9241"/>
      </w:tabs>
      <w:ind w:firstLine="403" w:firstLineChars="400"/>
      <w:jc w:val="left"/>
    </w:pPr>
    <w:rPr>
      <w:szCs w:val="21"/>
    </w:rPr>
  </w:style>
  <w:style w:type="paragraph" w:styleId="37">
    <w:name w:val="index 7"/>
    <w:basedOn w:val="1"/>
    <w:next w:val="1"/>
    <w:autoRedefine/>
    <w:qFormat/>
    <w:uiPriority w:val="0"/>
    <w:pPr>
      <w:ind w:left="1470" w:hanging="210"/>
      <w:jc w:val="left"/>
    </w:pPr>
    <w:rPr>
      <w:rFonts w:ascii="Calibri" w:hAnsi="Calibri"/>
      <w:sz w:val="20"/>
      <w:szCs w:val="20"/>
    </w:rPr>
  </w:style>
  <w:style w:type="paragraph" w:styleId="38">
    <w:name w:val="index 9"/>
    <w:basedOn w:val="1"/>
    <w:next w:val="1"/>
    <w:autoRedefine/>
    <w:qFormat/>
    <w:uiPriority w:val="0"/>
    <w:pPr>
      <w:ind w:left="1890" w:hanging="210"/>
      <w:jc w:val="left"/>
    </w:pPr>
    <w:rPr>
      <w:rFonts w:ascii="Calibri" w:hAnsi="Calibri"/>
      <w:sz w:val="20"/>
      <w:szCs w:val="20"/>
    </w:rPr>
  </w:style>
  <w:style w:type="paragraph" w:styleId="39">
    <w:name w:val="toc 2"/>
    <w:basedOn w:val="1"/>
    <w:next w:val="1"/>
    <w:autoRedefine/>
    <w:qFormat/>
    <w:uiPriority w:val="39"/>
    <w:pPr>
      <w:tabs>
        <w:tab w:val="right" w:leader="dot" w:pos="9241"/>
      </w:tabs>
    </w:pPr>
    <w:rPr>
      <w:szCs w:val="21"/>
    </w:rPr>
  </w:style>
  <w:style w:type="paragraph" w:styleId="40">
    <w:name w:val="toc 9"/>
    <w:basedOn w:val="1"/>
    <w:next w:val="1"/>
    <w:autoRedefine/>
    <w:semiHidden/>
    <w:qFormat/>
    <w:uiPriority w:val="0"/>
    <w:pPr>
      <w:ind w:left="1470"/>
      <w:jc w:val="left"/>
    </w:pPr>
    <w:rPr>
      <w:sz w:val="20"/>
      <w:szCs w:val="20"/>
    </w:rPr>
  </w:style>
  <w:style w:type="paragraph" w:styleId="41">
    <w:name w:val="Normal (Web)"/>
    <w:basedOn w:val="1"/>
    <w:autoRedefine/>
    <w:unhideWhenUsed/>
    <w:qFormat/>
    <w:uiPriority w:val="99"/>
    <w:pPr>
      <w:widowControl/>
      <w:spacing w:before="100" w:beforeAutospacing="1" w:after="100" w:afterAutospacing="1"/>
      <w:jc w:val="left"/>
    </w:pPr>
    <w:rPr>
      <w:rFonts w:cs="宋体"/>
      <w:kern w:val="0"/>
      <w:sz w:val="24"/>
    </w:rPr>
  </w:style>
  <w:style w:type="paragraph" w:styleId="42">
    <w:name w:val="index 2"/>
    <w:basedOn w:val="1"/>
    <w:next w:val="1"/>
    <w:autoRedefine/>
    <w:qFormat/>
    <w:uiPriority w:val="0"/>
    <w:pPr>
      <w:ind w:left="420" w:hanging="210"/>
      <w:jc w:val="left"/>
    </w:pPr>
    <w:rPr>
      <w:rFonts w:ascii="Calibri" w:hAnsi="Calibri"/>
      <w:sz w:val="20"/>
      <w:szCs w:val="20"/>
    </w:rPr>
  </w:style>
  <w:style w:type="paragraph" w:styleId="43">
    <w:name w:val="Title"/>
    <w:basedOn w:val="1"/>
    <w:link w:val="73"/>
    <w:autoRedefine/>
    <w:qFormat/>
    <w:uiPriority w:val="1"/>
    <w:pPr>
      <w:autoSpaceDE w:val="0"/>
      <w:autoSpaceDN w:val="0"/>
      <w:ind w:left="576"/>
      <w:jc w:val="left"/>
    </w:pPr>
    <w:rPr>
      <w:rFonts w:ascii="黑体" w:hAnsi="黑体" w:eastAsia="黑体"/>
      <w:kern w:val="0"/>
      <w:sz w:val="52"/>
      <w:szCs w:val="52"/>
      <w:lang w:val="ca-ES" w:eastAsia="en-US"/>
    </w:rPr>
  </w:style>
  <w:style w:type="paragraph" w:styleId="44">
    <w:name w:val="annotation subject"/>
    <w:basedOn w:val="17"/>
    <w:next w:val="17"/>
    <w:link w:val="74"/>
    <w:autoRedefine/>
    <w:qFormat/>
    <w:uiPriority w:val="99"/>
    <w:rPr>
      <w:b/>
      <w:bCs/>
    </w:rPr>
  </w:style>
  <w:style w:type="table" w:styleId="46">
    <w:name w:val="Table Grid"/>
    <w:basedOn w:val="45"/>
    <w:autoRedefine/>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8">
    <w:name w:val="Strong"/>
    <w:autoRedefine/>
    <w:qFormat/>
    <w:uiPriority w:val="22"/>
    <w:rPr>
      <w:b/>
      <w:bCs/>
    </w:rPr>
  </w:style>
  <w:style w:type="character" w:styleId="49">
    <w:name w:val="endnote reference"/>
    <w:autoRedefine/>
    <w:semiHidden/>
    <w:qFormat/>
    <w:uiPriority w:val="0"/>
    <w:rPr>
      <w:vertAlign w:val="superscript"/>
    </w:rPr>
  </w:style>
  <w:style w:type="character" w:styleId="50">
    <w:name w:val="page number"/>
    <w:autoRedefine/>
    <w:qFormat/>
    <w:uiPriority w:val="0"/>
    <w:rPr>
      <w:rFonts w:ascii="Times New Roman" w:hAnsi="Times New Roman" w:eastAsia="宋体"/>
      <w:sz w:val="18"/>
    </w:rPr>
  </w:style>
  <w:style w:type="character" w:styleId="51">
    <w:name w:val="FollowedHyperlink"/>
    <w:autoRedefine/>
    <w:qFormat/>
    <w:uiPriority w:val="99"/>
    <w:rPr>
      <w:color w:val="800080"/>
      <w:u w:val="single"/>
    </w:rPr>
  </w:style>
  <w:style w:type="character" w:styleId="52">
    <w:name w:val="Emphasis"/>
    <w:autoRedefine/>
    <w:qFormat/>
    <w:uiPriority w:val="20"/>
    <w:rPr>
      <w:i/>
      <w:iCs/>
    </w:rPr>
  </w:style>
  <w:style w:type="character" w:styleId="53">
    <w:name w:val="Hyperlink"/>
    <w:autoRedefine/>
    <w:qFormat/>
    <w:uiPriority w:val="99"/>
    <w:rPr>
      <w:color w:val="0000FF"/>
      <w:spacing w:val="0"/>
      <w:w w:val="100"/>
      <w:szCs w:val="21"/>
      <w:u w:val="single"/>
    </w:rPr>
  </w:style>
  <w:style w:type="character" w:styleId="54">
    <w:name w:val="annotation reference"/>
    <w:autoRedefine/>
    <w:qFormat/>
    <w:uiPriority w:val="99"/>
    <w:rPr>
      <w:sz w:val="21"/>
      <w:szCs w:val="21"/>
    </w:rPr>
  </w:style>
  <w:style w:type="character" w:styleId="55">
    <w:name w:val="footnote reference"/>
    <w:autoRedefine/>
    <w:semiHidden/>
    <w:qFormat/>
    <w:uiPriority w:val="0"/>
    <w:rPr>
      <w:vertAlign w:val="superscript"/>
    </w:rPr>
  </w:style>
  <w:style w:type="character" w:customStyle="1" w:styleId="56">
    <w:name w:val="页脚 字符"/>
    <w:autoRedefine/>
    <w:qFormat/>
    <w:uiPriority w:val="99"/>
    <w:rPr>
      <w:kern w:val="2"/>
      <w:sz w:val="18"/>
    </w:rPr>
  </w:style>
  <w:style w:type="character" w:customStyle="1" w:styleId="57">
    <w:name w:val="标题 1 Char"/>
    <w:link w:val="3"/>
    <w:autoRedefine/>
    <w:qFormat/>
    <w:uiPriority w:val="1"/>
    <w:rPr>
      <w:b/>
      <w:bCs/>
      <w:kern w:val="2"/>
      <w:sz w:val="32"/>
      <w:szCs w:val="28"/>
      <w:lang w:eastAsia="ja-JP"/>
    </w:rPr>
  </w:style>
  <w:style w:type="character" w:customStyle="1" w:styleId="58">
    <w:name w:val="标题 2 Char"/>
    <w:link w:val="4"/>
    <w:autoRedefine/>
    <w:qFormat/>
    <w:uiPriority w:val="1"/>
    <w:rPr>
      <w:b/>
      <w:bCs/>
      <w:kern w:val="2"/>
      <w:sz w:val="30"/>
      <w:szCs w:val="32"/>
    </w:rPr>
  </w:style>
  <w:style w:type="character" w:customStyle="1" w:styleId="59">
    <w:name w:val="标题 3 Char"/>
    <w:link w:val="5"/>
    <w:autoRedefine/>
    <w:qFormat/>
    <w:uiPriority w:val="1"/>
    <w:rPr>
      <w:b/>
      <w:bCs/>
      <w:kern w:val="2"/>
      <w:sz w:val="28"/>
      <w:szCs w:val="32"/>
    </w:rPr>
  </w:style>
  <w:style w:type="character" w:customStyle="1" w:styleId="60">
    <w:name w:val="标题 4 Char"/>
    <w:link w:val="6"/>
    <w:autoRedefine/>
    <w:qFormat/>
    <w:uiPriority w:val="1"/>
    <w:rPr>
      <w:b/>
      <w:bCs/>
      <w:kern w:val="2"/>
      <w:sz w:val="26"/>
      <w:szCs w:val="28"/>
    </w:rPr>
  </w:style>
  <w:style w:type="character" w:customStyle="1" w:styleId="61">
    <w:name w:val="标题 5 Char"/>
    <w:link w:val="7"/>
    <w:autoRedefine/>
    <w:qFormat/>
    <w:uiPriority w:val="1"/>
    <w:rPr>
      <w:rFonts w:eastAsia="黑体"/>
      <w:b/>
      <w:bCs/>
      <w:kern w:val="2"/>
      <w:sz w:val="24"/>
      <w:szCs w:val="28"/>
    </w:rPr>
  </w:style>
  <w:style w:type="character" w:customStyle="1" w:styleId="62">
    <w:name w:val="标题 6 Char"/>
    <w:link w:val="8"/>
    <w:autoRedefine/>
    <w:qFormat/>
    <w:uiPriority w:val="9"/>
    <w:rPr>
      <w:b/>
      <w:bCs/>
      <w:kern w:val="2"/>
      <w:sz w:val="24"/>
      <w:szCs w:val="21"/>
    </w:rPr>
  </w:style>
  <w:style w:type="character" w:customStyle="1" w:styleId="63">
    <w:name w:val="标题 7 Char"/>
    <w:link w:val="9"/>
    <w:autoRedefine/>
    <w:qFormat/>
    <w:uiPriority w:val="9"/>
    <w:rPr>
      <w:rFonts w:eastAsia="黑体"/>
      <w:bCs/>
      <w:kern w:val="2"/>
      <w:sz w:val="24"/>
      <w:szCs w:val="21"/>
    </w:rPr>
  </w:style>
  <w:style w:type="character" w:customStyle="1" w:styleId="64">
    <w:name w:val="标题 8 Char"/>
    <w:link w:val="10"/>
    <w:autoRedefine/>
    <w:qFormat/>
    <w:uiPriority w:val="9"/>
    <w:rPr>
      <w:kern w:val="2"/>
      <w:sz w:val="24"/>
      <w:szCs w:val="21"/>
    </w:rPr>
  </w:style>
  <w:style w:type="character" w:customStyle="1" w:styleId="65">
    <w:name w:val="标题 9 Char"/>
    <w:link w:val="11"/>
    <w:autoRedefine/>
    <w:qFormat/>
    <w:uiPriority w:val="9"/>
    <w:rPr>
      <w:kern w:val="2"/>
      <w:sz w:val="24"/>
      <w:szCs w:val="21"/>
    </w:rPr>
  </w:style>
  <w:style w:type="character" w:customStyle="1" w:styleId="66">
    <w:name w:val="批注文字 Char"/>
    <w:link w:val="17"/>
    <w:autoRedefine/>
    <w:qFormat/>
    <w:uiPriority w:val="0"/>
    <w:rPr>
      <w:kern w:val="2"/>
      <w:sz w:val="21"/>
      <w:szCs w:val="24"/>
    </w:rPr>
  </w:style>
  <w:style w:type="character" w:customStyle="1" w:styleId="67">
    <w:name w:val="正文文本 Char"/>
    <w:link w:val="19"/>
    <w:autoRedefine/>
    <w:qFormat/>
    <w:uiPriority w:val="0"/>
    <w:rPr>
      <w:rFonts w:ascii="黑体" w:hAnsi="黑体" w:eastAsia="黑体"/>
      <w:sz w:val="21"/>
      <w:szCs w:val="21"/>
      <w:lang w:val="ca-ES" w:eastAsia="en-US"/>
    </w:rPr>
  </w:style>
  <w:style w:type="character" w:customStyle="1" w:styleId="68">
    <w:name w:val="日期 Char"/>
    <w:link w:val="25"/>
    <w:autoRedefine/>
    <w:qFormat/>
    <w:uiPriority w:val="0"/>
    <w:rPr>
      <w:kern w:val="2"/>
      <w:sz w:val="21"/>
      <w:szCs w:val="24"/>
    </w:rPr>
  </w:style>
  <w:style w:type="character" w:customStyle="1" w:styleId="69">
    <w:name w:val="批注框文本 Char"/>
    <w:link w:val="27"/>
    <w:autoRedefine/>
    <w:qFormat/>
    <w:uiPriority w:val="99"/>
    <w:rPr>
      <w:rFonts w:ascii="Calibri" w:hAnsi="Calibri" w:eastAsia="宋体" w:cs="Calibri"/>
      <w:kern w:val="2"/>
      <w:sz w:val="18"/>
      <w:szCs w:val="18"/>
      <w:lang w:val="en-US" w:eastAsia="zh-CN" w:bidi="ar-SA"/>
    </w:rPr>
  </w:style>
  <w:style w:type="character" w:customStyle="1" w:styleId="70">
    <w:name w:val="页脚 Char"/>
    <w:link w:val="28"/>
    <w:autoRedefine/>
    <w:qFormat/>
    <w:locked/>
    <w:uiPriority w:val="99"/>
    <w:rPr>
      <w:rFonts w:eastAsia="宋体"/>
      <w:kern w:val="2"/>
      <w:sz w:val="18"/>
      <w:szCs w:val="18"/>
      <w:lang w:val="en-US" w:eastAsia="zh-CN" w:bidi="ar-SA"/>
    </w:rPr>
  </w:style>
  <w:style w:type="character" w:customStyle="1" w:styleId="71">
    <w:name w:val="页眉 Char"/>
    <w:link w:val="29"/>
    <w:autoRedefine/>
    <w:qFormat/>
    <w:locked/>
    <w:uiPriority w:val="99"/>
    <w:rPr>
      <w:rFonts w:eastAsia="宋体"/>
      <w:kern w:val="2"/>
      <w:sz w:val="18"/>
      <w:szCs w:val="18"/>
      <w:lang w:val="en-US" w:eastAsia="zh-CN" w:bidi="ar-SA"/>
    </w:rPr>
  </w:style>
  <w:style w:type="character" w:customStyle="1" w:styleId="72">
    <w:name w:val="段 Char"/>
    <w:link w:val="34"/>
    <w:autoRedefine/>
    <w:qFormat/>
    <w:uiPriority w:val="0"/>
    <w:rPr>
      <w:rFonts w:ascii="宋体" w:hAnsi="宋体" w:eastAsia="宋体"/>
      <w:sz w:val="24"/>
      <w:lang w:val="en-US" w:eastAsia="zh-CN" w:bidi="ar-SA"/>
    </w:rPr>
  </w:style>
  <w:style w:type="character" w:customStyle="1" w:styleId="73">
    <w:name w:val="标题 Char"/>
    <w:link w:val="43"/>
    <w:autoRedefine/>
    <w:qFormat/>
    <w:uiPriority w:val="1"/>
    <w:rPr>
      <w:rFonts w:ascii="黑体" w:hAnsi="黑体" w:eastAsia="黑体" w:cs="黑体"/>
      <w:sz w:val="52"/>
      <w:szCs w:val="52"/>
      <w:lang w:val="ca-ES" w:eastAsia="en-US"/>
    </w:rPr>
  </w:style>
  <w:style w:type="character" w:customStyle="1" w:styleId="74">
    <w:name w:val="批注主题 Char"/>
    <w:link w:val="44"/>
    <w:autoRedefine/>
    <w:qFormat/>
    <w:uiPriority w:val="99"/>
    <w:rPr>
      <w:b/>
      <w:bCs/>
      <w:kern w:val="2"/>
      <w:sz w:val="21"/>
      <w:szCs w:val="24"/>
    </w:rPr>
  </w:style>
  <w:style w:type="character" w:customStyle="1" w:styleId="75">
    <w:name w:val="章标题 Char"/>
    <w:link w:val="76"/>
    <w:autoRedefine/>
    <w:qFormat/>
    <w:uiPriority w:val="0"/>
    <w:rPr>
      <w:rFonts w:ascii="黑体" w:eastAsia="黑体"/>
      <w:sz w:val="21"/>
    </w:rPr>
  </w:style>
  <w:style w:type="paragraph" w:customStyle="1" w:styleId="76">
    <w:name w:val="章标题"/>
    <w:next w:val="34"/>
    <w:link w:val="75"/>
    <w:autoRedefine/>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77">
    <w:name w:val="_HT_列表（数字） Char"/>
    <w:link w:val="78"/>
    <w:autoRedefine/>
    <w:qFormat/>
    <w:uiPriority w:val="0"/>
    <w:rPr>
      <w:kern w:val="2"/>
      <w:sz w:val="24"/>
      <w:szCs w:val="21"/>
    </w:rPr>
  </w:style>
  <w:style w:type="paragraph" w:customStyle="1" w:styleId="78">
    <w:name w:val="_HT_列表（数字）"/>
    <w:basedOn w:val="1"/>
    <w:link w:val="77"/>
    <w:autoRedefine/>
    <w:qFormat/>
    <w:uiPriority w:val="0"/>
    <w:pPr>
      <w:widowControl/>
      <w:numPr>
        <w:ilvl w:val="0"/>
        <w:numId w:val="4"/>
      </w:numPr>
      <w:spacing w:line="480" w:lineRule="exact"/>
    </w:pPr>
    <w:rPr>
      <w:sz w:val="24"/>
      <w:szCs w:val="21"/>
    </w:rPr>
  </w:style>
  <w:style w:type="character" w:customStyle="1" w:styleId="79">
    <w:name w:val="发布"/>
    <w:autoRedefine/>
    <w:qFormat/>
    <w:uiPriority w:val="0"/>
    <w:rPr>
      <w:rFonts w:ascii="黑体" w:eastAsia="黑体"/>
      <w:spacing w:val="85"/>
      <w:w w:val="100"/>
      <w:position w:val="3"/>
      <w:sz w:val="28"/>
      <w:szCs w:val="28"/>
    </w:rPr>
  </w:style>
  <w:style w:type="character" w:customStyle="1" w:styleId="80">
    <w:name w:val="注： Char"/>
    <w:link w:val="81"/>
    <w:autoRedefine/>
    <w:qFormat/>
    <w:uiPriority w:val="0"/>
    <w:rPr>
      <w:rFonts w:ascii="宋体"/>
      <w:sz w:val="18"/>
      <w:szCs w:val="18"/>
    </w:rPr>
  </w:style>
  <w:style w:type="paragraph" w:customStyle="1" w:styleId="81">
    <w:name w:val="注："/>
    <w:next w:val="34"/>
    <w:link w:val="80"/>
    <w:autoRedefine/>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character" w:customStyle="1" w:styleId="82">
    <w:name w:val="Char Char4"/>
    <w:autoRedefine/>
    <w:qFormat/>
    <w:uiPriority w:val="0"/>
    <w:rPr>
      <w:rFonts w:ascii="Calibri" w:hAnsi="Calibri" w:eastAsia="宋体" w:cs="Calibri"/>
      <w:b/>
      <w:bCs/>
      <w:kern w:val="2"/>
      <w:sz w:val="24"/>
      <w:szCs w:val="24"/>
      <w:lang w:val="en-US" w:eastAsia="zh-CN" w:bidi="ar-SA"/>
    </w:rPr>
  </w:style>
  <w:style w:type="character" w:customStyle="1" w:styleId="83">
    <w:name w:val="Char Char3"/>
    <w:autoRedefine/>
    <w:qFormat/>
    <w:uiPriority w:val="0"/>
    <w:rPr>
      <w:rFonts w:ascii="Cambria" w:hAnsi="Cambria" w:eastAsia="宋体" w:cs="Cambria"/>
      <w:b/>
      <w:bCs/>
      <w:kern w:val="2"/>
      <w:sz w:val="24"/>
      <w:szCs w:val="24"/>
      <w:lang w:val="en-US" w:eastAsia="zh-CN" w:bidi="ar-SA"/>
    </w:rPr>
  </w:style>
  <w:style w:type="character" w:customStyle="1" w:styleId="84">
    <w:name w:val="Char Char7"/>
    <w:autoRedefine/>
    <w:qFormat/>
    <w:uiPriority w:val="0"/>
    <w:rPr>
      <w:rFonts w:ascii="Cambria" w:hAnsi="Cambria" w:eastAsia="宋体" w:cs="Cambria"/>
      <w:b/>
      <w:bCs/>
      <w:kern w:val="2"/>
      <w:sz w:val="30"/>
      <w:szCs w:val="30"/>
      <w:lang w:val="en-US" w:eastAsia="zh-CN" w:bidi="ar-SA"/>
    </w:rPr>
  </w:style>
  <w:style w:type="character" w:customStyle="1" w:styleId="85">
    <w:name w:val="Char Char8"/>
    <w:autoRedefine/>
    <w:qFormat/>
    <w:uiPriority w:val="0"/>
    <w:rPr>
      <w:rFonts w:ascii="Calibri" w:hAnsi="Calibri" w:eastAsia="黑体" w:cs="Calibri"/>
      <w:b/>
      <w:bCs/>
      <w:kern w:val="44"/>
      <w:sz w:val="32"/>
      <w:szCs w:val="32"/>
      <w:lang w:val="en-US" w:eastAsia="zh-CN" w:bidi="ar-SA"/>
    </w:rPr>
  </w:style>
  <w:style w:type="character" w:customStyle="1" w:styleId="86">
    <w:name w:val="Char Char6"/>
    <w:autoRedefine/>
    <w:qFormat/>
    <w:uiPriority w:val="0"/>
    <w:rPr>
      <w:rFonts w:ascii="Calibri" w:hAnsi="Calibri" w:eastAsia="宋体" w:cs="Calibri"/>
      <w:b/>
      <w:bCs/>
      <w:kern w:val="2"/>
      <w:sz w:val="28"/>
      <w:szCs w:val="28"/>
      <w:lang w:val="en-US" w:eastAsia="zh-CN" w:bidi="ar-SA"/>
    </w:rPr>
  </w:style>
  <w:style w:type="character" w:customStyle="1" w:styleId="87">
    <w:name w:val="首示例 Char"/>
    <w:link w:val="88"/>
    <w:autoRedefine/>
    <w:qFormat/>
    <w:uiPriority w:val="0"/>
    <w:rPr>
      <w:rFonts w:ascii="宋体" w:hAnsi="宋体"/>
      <w:kern w:val="2"/>
      <w:sz w:val="18"/>
      <w:szCs w:val="18"/>
    </w:rPr>
  </w:style>
  <w:style w:type="paragraph" w:customStyle="1" w:styleId="88">
    <w:name w:val="首示例"/>
    <w:next w:val="34"/>
    <w:link w:val="87"/>
    <w:autoRedefine/>
    <w:qFormat/>
    <w:uiPriority w:val="0"/>
    <w:pPr>
      <w:numPr>
        <w:ilvl w:val="0"/>
        <w:numId w:val="6"/>
      </w:numPr>
      <w:tabs>
        <w:tab w:val="left" w:pos="360"/>
      </w:tabs>
      <w:ind w:firstLine="0"/>
    </w:pPr>
    <w:rPr>
      <w:rFonts w:ascii="宋体" w:hAnsi="宋体" w:eastAsia="宋体" w:cs="Times New Roman"/>
      <w:kern w:val="2"/>
      <w:sz w:val="18"/>
      <w:szCs w:val="18"/>
      <w:lang w:val="en-US" w:eastAsia="zh-CN" w:bidi="ar-SA"/>
    </w:rPr>
  </w:style>
  <w:style w:type="character" w:customStyle="1" w:styleId="89">
    <w:name w:val="中等深浅底纹 1 - 着色 2 字符"/>
    <w:link w:val="90"/>
    <w:autoRedefine/>
    <w:qFormat/>
    <w:locked/>
    <w:uiPriority w:val="0"/>
    <w:rPr>
      <w:rFonts w:ascii="Calibri" w:hAnsi="Calibri"/>
      <w:sz w:val="22"/>
      <w:szCs w:val="22"/>
      <w:lang w:val="en-US" w:eastAsia="zh-CN" w:bidi="ar-SA"/>
    </w:rPr>
  </w:style>
  <w:style w:type="paragraph" w:customStyle="1" w:styleId="90">
    <w:name w:val="中等深浅底纹 1 - 着色 21"/>
    <w:link w:val="89"/>
    <w:autoRedefine/>
    <w:qFormat/>
    <w:uiPriority w:val="0"/>
    <w:rPr>
      <w:rFonts w:ascii="Calibri" w:hAnsi="Calibri" w:eastAsia="宋体" w:cs="Times New Roman"/>
      <w:sz w:val="22"/>
      <w:szCs w:val="22"/>
      <w:lang w:val="en-US" w:eastAsia="zh-CN" w:bidi="ar-SA"/>
    </w:rPr>
  </w:style>
  <w:style w:type="character" w:customStyle="1" w:styleId="91">
    <w:name w:val="附录公式 Char"/>
    <w:link w:val="92"/>
    <w:autoRedefine/>
    <w:qFormat/>
    <w:uiPriority w:val="0"/>
    <w:rPr>
      <w:lang w:val="en-US" w:eastAsia="zh-CN" w:bidi="ar-SA"/>
    </w:rPr>
  </w:style>
  <w:style w:type="paragraph" w:customStyle="1" w:styleId="92">
    <w:name w:val="附录公式"/>
    <w:basedOn w:val="34"/>
    <w:next w:val="34"/>
    <w:link w:val="91"/>
    <w:autoRedefine/>
    <w:qFormat/>
    <w:uiPriority w:val="0"/>
  </w:style>
  <w:style w:type="character" w:customStyle="1" w:styleId="93">
    <w:name w:val="Char Char5"/>
    <w:autoRedefine/>
    <w:qFormat/>
    <w:uiPriority w:val="0"/>
    <w:rPr>
      <w:rFonts w:ascii="Cambria" w:hAnsi="Cambria" w:eastAsia="宋体" w:cs="Cambria"/>
      <w:b/>
      <w:bCs/>
      <w:kern w:val="2"/>
      <w:sz w:val="24"/>
      <w:szCs w:val="24"/>
      <w:lang w:val="en-US" w:eastAsia="zh-CN" w:bidi="ar-SA"/>
    </w:rPr>
  </w:style>
  <w:style w:type="paragraph" w:customStyle="1" w:styleId="94">
    <w:name w:val="font0"/>
    <w:basedOn w:val="1"/>
    <w:autoRedefine/>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95">
    <w:name w:val="xl80"/>
    <w:basedOn w:val="1"/>
    <w:autoRedefine/>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96">
    <w:name w:val="字母编号列项（一级）"/>
    <w:autoRedefine/>
    <w:qFormat/>
    <w:uiPriority w:val="0"/>
    <w:pPr>
      <w:numPr>
        <w:ilvl w:val="0"/>
        <w:numId w:val="7"/>
      </w:numPr>
      <w:jc w:val="both"/>
    </w:pPr>
    <w:rPr>
      <w:rFonts w:ascii="宋体" w:hAnsi="Times New Roman" w:eastAsia="宋体" w:cs="Times New Roman"/>
      <w:sz w:val="21"/>
      <w:lang w:val="en-US" w:eastAsia="zh-CN" w:bidi="ar-SA"/>
    </w:rPr>
  </w:style>
  <w:style w:type="paragraph" w:customStyle="1" w:styleId="97">
    <w:name w:val="二级条标题"/>
    <w:basedOn w:val="98"/>
    <w:next w:val="34"/>
    <w:link w:val="99"/>
    <w:autoRedefine/>
    <w:qFormat/>
    <w:uiPriority w:val="0"/>
    <w:pPr>
      <w:numPr>
        <w:ilvl w:val="2"/>
      </w:numPr>
      <w:outlineLvl w:val="3"/>
    </w:pPr>
  </w:style>
  <w:style w:type="paragraph" w:customStyle="1" w:styleId="98">
    <w:name w:val="一级条标题"/>
    <w:next w:val="34"/>
    <w:autoRedefine/>
    <w:qFormat/>
    <w:uiPriority w:val="0"/>
    <w:pPr>
      <w:numPr>
        <w:ilvl w:val="1"/>
        <w:numId w:val="3"/>
      </w:numPr>
      <w:spacing w:before="50" w:beforeLines="50" w:after="50" w:afterLines="50"/>
      <w:outlineLvl w:val="2"/>
    </w:pPr>
    <w:rPr>
      <w:rFonts w:ascii="黑体" w:hAnsi="Times New Roman" w:eastAsia="黑体" w:cs="Times New Roman"/>
      <w:sz w:val="21"/>
      <w:szCs w:val="21"/>
      <w:lang w:val="en-US" w:eastAsia="zh-CN" w:bidi="ar-SA"/>
    </w:rPr>
  </w:style>
  <w:style w:type="character" w:customStyle="1" w:styleId="99">
    <w:name w:val="二级条标题 Char"/>
    <w:link w:val="97"/>
    <w:autoRedefine/>
    <w:qFormat/>
    <w:uiPriority w:val="0"/>
    <w:rPr>
      <w:rFonts w:ascii="黑体" w:eastAsia="黑体"/>
      <w:sz w:val="21"/>
      <w:szCs w:val="21"/>
    </w:rPr>
  </w:style>
  <w:style w:type="paragraph" w:customStyle="1" w:styleId="100">
    <w:name w:val="样式 样式 三级条标题 + 段前: 0.5 行 段后: 0.5 行 + 段前: 0.5 行 段后: 0.5 行"/>
    <w:basedOn w:val="101"/>
    <w:autoRedefine/>
    <w:qFormat/>
    <w:uiPriority w:val="0"/>
    <w:pPr>
      <w:numPr>
        <w:ilvl w:val="3"/>
        <w:numId w:val="3"/>
      </w:numPr>
    </w:pPr>
  </w:style>
  <w:style w:type="paragraph" w:customStyle="1" w:styleId="101">
    <w:name w:val="样式 三级条标题 + 段前: 0.5 行 段后: 0.5 行"/>
    <w:basedOn w:val="102"/>
    <w:autoRedefine/>
    <w:qFormat/>
    <w:uiPriority w:val="0"/>
    <w:pPr>
      <w:ind w:left="0"/>
    </w:pPr>
    <w:rPr>
      <w:rFonts w:cs="宋体"/>
      <w:szCs w:val="20"/>
    </w:rPr>
  </w:style>
  <w:style w:type="paragraph" w:customStyle="1" w:styleId="102">
    <w:name w:val="三级条标题"/>
    <w:basedOn w:val="97"/>
    <w:next w:val="34"/>
    <w:link w:val="103"/>
    <w:autoRedefine/>
    <w:qFormat/>
    <w:uiPriority w:val="0"/>
    <w:pPr>
      <w:numPr>
        <w:ilvl w:val="0"/>
        <w:numId w:val="0"/>
      </w:numPr>
      <w:ind w:left="1843"/>
      <w:outlineLvl w:val="4"/>
    </w:pPr>
  </w:style>
  <w:style w:type="character" w:customStyle="1" w:styleId="103">
    <w:name w:val="三级条标题 Char"/>
    <w:link w:val="102"/>
    <w:autoRedefine/>
    <w:qFormat/>
    <w:uiPriority w:val="0"/>
    <w:rPr>
      <w:rFonts w:ascii="黑体" w:eastAsia="黑体"/>
      <w:sz w:val="21"/>
      <w:szCs w:val="21"/>
    </w:rPr>
  </w:style>
  <w:style w:type="paragraph" w:customStyle="1" w:styleId="104">
    <w:name w:val="font6"/>
    <w:basedOn w:val="1"/>
    <w:autoRedefine/>
    <w:qFormat/>
    <w:uiPriority w:val="0"/>
    <w:pPr>
      <w:widowControl/>
      <w:spacing w:before="100" w:beforeAutospacing="1" w:after="100" w:afterAutospacing="1"/>
      <w:jc w:val="left"/>
    </w:pPr>
    <w:rPr>
      <w:rFonts w:ascii="等线" w:hAnsi="等线" w:eastAsia="等线" w:cs="宋体"/>
      <w:color w:val="000000"/>
      <w:kern w:val="0"/>
      <w:sz w:val="22"/>
      <w:szCs w:val="22"/>
    </w:rPr>
  </w:style>
  <w:style w:type="paragraph" w:customStyle="1" w:styleId="105">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6">
    <w:name w:val="xl118"/>
    <w:basedOn w:val="1"/>
    <w:autoRedefine/>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07">
    <w:name w:val="注×：（正文）"/>
    <w:autoRedefine/>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108">
    <w:name w:val="附录五级无"/>
    <w:basedOn w:val="109"/>
    <w:autoRedefine/>
    <w:qFormat/>
    <w:uiPriority w:val="0"/>
    <w:pPr>
      <w:tabs>
        <w:tab w:val="left" w:pos="360"/>
      </w:tabs>
      <w:spacing w:before="0" w:beforeLines="0" w:after="0" w:afterLines="0"/>
    </w:pPr>
    <w:rPr>
      <w:rFonts w:ascii="宋体" w:eastAsia="宋体"/>
      <w:szCs w:val="21"/>
    </w:rPr>
  </w:style>
  <w:style w:type="paragraph" w:customStyle="1" w:styleId="109">
    <w:name w:val="附录五级条标题"/>
    <w:basedOn w:val="110"/>
    <w:next w:val="34"/>
    <w:autoRedefine/>
    <w:qFormat/>
    <w:uiPriority w:val="0"/>
    <w:pPr>
      <w:tabs>
        <w:tab w:val="left" w:pos="360"/>
      </w:tabs>
      <w:outlineLvl w:val="6"/>
    </w:pPr>
  </w:style>
  <w:style w:type="paragraph" w:customStyle="1" w:styleId="110">
    <w:name w:val="附录四级条标题"/>
    <w:basedOn w:val="111"/>
    <w:next w:val="34"/>
    <w:autoRedefine/>
    <w:qFormat/>
    <w:uiPriority w:val="0"/>
    <w:pPr>
      <w:numPr>
        <w:ilvl w:val="0"/>
        <w:numId w:val="0"/>
      </w:numPr>
      <w:tabs>
        <w:tab w:val="left" w:pos="360"/>
      </w:tabs>
      <w:outlineLvl w:val="5"/>
    </w:pPr>
  </w:style>
  <w:style w:type="paragraph" w:customStyle="1" w:styleId="111">
    <w:name w:val="附录三级条标题"/>
    <w:basedOn w:val="112"/>
    <w:next w:val="34"/>
    <w:autoRedefine/>
    <w:qFormat/>
    <w:uiPriority w:val="0"/>
    <w:pPr>
      <w:numPr>
        <w:ilvl w:val="4"/>
      </w:numPr>
      <w:tabs>
        <w:tab w:val="left" w:pos="360"/>
      </w:tabs>
      <w:outlineLvl w:val="4"/>
    </w:pPr>
  </w:style>
  <w:style w:type="paragraph" w:customStyle="1" w:styleId="112">
    <w:name w:val="附录二级条标题"/>
    <w:basedOn w:val="1"/>
    <w:next w:val="34"/>
    <w:autoRedefine/>
    <w:qFormat/>
    <w:uiPriority w:val="0"/>
    <w:pPr>
      <w:widowControl/>
      <w:numPr>
        <w:ilvl w:val="3"/>
        <w:numId w:val="9"/>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13">
    <w:name w:val="终结线"/>
    <w:basedOn w:val="1"/>
    <w:autoRedefine/>
    <w:qFormat/>
    <w:uiPriority w:val="0"/>
    <w:pPr>
      <w:framePr w:hSpace="181" w:vSpace="181" w:wrap="around" w:vAnchor="text" w:hAnchor="margin" w:xAlign="center" w:y="285"/>
    </w:pPr>
  </w:style>
  <w:style w:type="paragraph" w:customStyle="1" w:styleId="114">
    <w:name w:val="xl9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15">
    <w:name w:val="xl78"/>
    <w:basedOn w:val="1"/>
    <w:autoRedefine/>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16">
    <w:name w:val="样式 样式 样式 样式 二级条标题 + 段前: 0.5 行 段后: 0.5 行 + 段前: 0.5 行 段后: 0.5 行 + ..."/>
    <w:basedOn w:val="117"/>
    <w:autoRedefine/>
    <w:qFormat/>
    <w:uiPriority w:val="0"/>
    <w:pPr>
      <w:ind w:firstLine="0"/>
    </w:pPr>
  </w:style>
  <w:style w:type="paragraph" w:customStyle="1" w:styleId="117">
    <w:name w:val="样式 样式 样式 二级条标题 + 段前: 0.5 行 段后: 0.5 行 + 段前: 0.5 行 段后: 0.5 行 + 段前:..."/>
    <w:basedOn w:val="118"/>
    <w:autoRedefine/>
    <w:qFormat/>
    <w:uiPriority w:val="0"/>
    <w:pPr>
      <w:ind w:firstLine="300" w:firstLineChars="300"/>
    </w:pPr>
  </w:style>
  <w:style w:type="paragraph" w:customStyle="1" w:styleId="118">
    <w:name w:val="样式 样式 二级条标题 + 段前: 0.5 行 段后: 0.5 行 + 段前: 0.5 行 段后: 0.5 行"/>
    <w:basedOn w:val="119"/>
    <w:autoRedefine/>
    <w:qFormat/>
    <w:uiPriority w:val="0"/>
    <w:pPr>
      <w:ind w:firstLine="250" w:firstLineChars="250"/>
    </w:pPr>
  </w:style>
  <w:style w:type="paragraph" w:customStyle="1" w:styleId="119">
    <w:name w:val="样式 二级条标题 + 段前: 0.5 行 段后: 0.5 行"/>
    <w:basedOn w:val="97"/>
    <w:autoRedefine/>
    <w:qFormat/>
    <w:uiPriority w:val="0"/>
    <w:pPr>
      <w:ind w:firstLine="200" w:firstLineChars="200"/>
    </w:pPr>
    <w:rPr>
      <w:rFonts w:cs="宋体"/>
      <w:szCs w:val="20"/>
    </w:rPr>
  </w:style>
  <w:style w:type="paragraph" w:customStyle="1" w:styleId="120">
    <w:name w:val="样式 样式 样式 三级条标题 + 段前: 0.5 行 段后: 0.5 行 + 段前: 0.5 行 段后: 0.5 行 + 段前:..."/>
    <w:basedOn w:val="100"/>
    <w:autoRedefine/>
    <w:qFormat/>
    <w:uiPriority w:val="0"/>
    <w:pPr>
      <w:ind w:firstLine="250" w:firstLineChars="250"/>
    </w:pPr>
  </w:style>
  <w:style w:type="paragraph" w:customStyle="1" w:styleId="121">
    <w:name w:val="xl6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2">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cs="宋体"/>
      <w:b/>
      <w:bCs/>
      <w:kern w:val="0"/>
      <w:sz w:val="24"/>
    </w:rPr>
  </w:style>
  <w:style w:type="paragraph" w:customStyle="1" w:styleId="123">
    <w:name w:val="列项●（二级）"/>
    <w:autoRedefine/>
    <w:qFormat/>
    <w:uiPriority w:val="0"/>
    <w:pPr>
      <w:numPr>
        <w:ilvl w:val="1"/>
        <w:numId w:val="10"/>
      </w:numPr>
      <w:tabs>
        <w:tab w:val="left" w:pos="840"/>
      </w:tabs>
      <w:jc w:val="both"/>
    </w:pPr>
    <w:rPr>
      <w:rFonts w:ascii="宋体" w:hAnsi="Times New Roman" w:eastAsia="宋体" w:cs="Times New Roman"/>
      <w:sz w:val="21"/>
      <w:lang w:val="en-US" w:eastAsia="zh-CN" w:bidi="ar-SA"/>
    </w:rPr>
  </w:style>
  <w:style w:type="paragraph" w:customStyle="1" w:styleId="124">
    <w:name w:val="xl68"/>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2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6">
    <w:name w:val="示例"/>
    <w:next w:val="127"/>
    <w:autoRedefine/>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27">
    <w:name w:val="示例内容"/>
    <w:autoRedefine/>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8">
    <w:name w:val="msonormal"/>
    <w:basedOn w:val="1"/>
    <w:autoRedefine/>
    <w:qFormat/>
    <w:uiPriority w:val="0"/>
    <w:pPr>
      <w:widowControl/>
      <w:spacing w:before="100" w:beforeAutospacing="1" w:after="100" w:afterAutospacing="1"/>
      <w:jc w:val="left"/>
    </w:pPr>
    <w:rPr>
      <w:rFonts w:cs="宋体"/>
      <w:kern w:val="0"/>
      <w:sz w:val="24"/>
    </w:rPr>
  </w:style>
  <w:style w:type="paragraph" w:customStyle="1" w:styleId="129">
    <w:name w:val="xl107"/>
    <w:basedOn w:val="1"/>
    <w:autoRedefine/>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30">
    <w:name w:val="xl88"/>
    <w:basedOn w:val="1"/>
    <w:autoRedefine/>
    <w:qFormat/>
    <w:uiPriority w:val="0"/>
    <w:pPr>
      <w:widowControl/>
      <w:spacing w:before="100" w:beforeAutospacing="1" w:after="100" w:afterAutospacing="1"/>
      <w:jc w:val="left"/>
    </w:pPr>
    <w:rPr>
      <w:rFonts w:cs="宋体"/>
      <w:kern w:val="0"/>
      <w:sz w:val="24"/>
    </w:rPr>
  </w:style>
  <w:style w:type="paragraph" w:customStyle="1" w:styleId="131">
    <w:name w:val="xl63"/>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32">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33">
    <w:name w:val="附录四级无"/>
    <w:basedOn w:val="110"/>
    <w:autoRedefine/>
    <w:qFormat/>
    <w:uiPriority w:val="0"/>
    <w:pPr>
      <w:tabs>
        <w:tab w:val="clear" w:pos="360"/>
      </w:tabs>
      <w:spacing w:before="0" w:beforeLines="0" w:after="0" w:afterLines="0"/>
    </w:pPr>
    <w:rPr>
      <w:rFonts w:ascii="宋体" w:eastAsia="宋体"/>
      <w:szCs w:val="21"/>
    </w:rPr>
  </w:style>
  <w:style w:type="paragraph" w:customStyle="1" w:styleId="134">
    <w:name w:val="xl10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5">
    <w:name w:val="xl89"/>
    <w:basedOn w:val="1"/>
    <w:autoRedefine/>
    <w:qFormat/>
    <w:uiPriority w:val="0"/>
    <w:pPr>
      <w:widowControl/>
      <w:pBdr>
        <w:right w:val="single" w:color="auto" w:sz="4" w:space="0"/>
      </w:pBdr>
      <w:spacing w:before="100" w:beforeAutospacing="1" w:after="100" w:afterAutospacing="1"/>
      <w:jc w:val="left"/>
    </w:pPr>
    <w:rPr>
      <w:rFonts w:cs="宋体"/>
      <w:color w:val="FF0000"/>
      <w:kern w:val="0"/>
      <w:sz w:val="24"/>
    </w:rPr>
  </w:style>
  <w:style w:type="paragraph" w:customStyle="1" w:styleId="136">
    <w:name w:val="封面正文"/>
    <w:autoRedefine/>
    <w:qFormat/>
    <w:uiPriority w:val="0"/>
    <w:pPr>
      <w:jc w:val="both"/>
    </w:pPr>
    <w:rPr>
      <w:rFonts w:ascii="Times New Roman" w:hAnsi="Times New Roman" w:eastAsia="宋体" w:cs="Times New Roman"/>
      <w:lang w:val="en-US" w:eastAsia="zh-CN" w:bidi="ar-SA"/>
    </w:rPr>
  </w:style>
  <w:style w:type="paragraph" w:customStyle="1" w:styleId="137">
    <w:name w:val="发布部门"/>
    <w:next w:val="34"/>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38">
    <w:name w:val="xl11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39">
    <w:name w:val="xl11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40">
    <w:name w:val="封面标准文稿类别"/>
    <w:basedOn w:val="141"/>
    <w:autoRedefine/>
    <w:qFormat/>
    <w:uiPriority w:val="0"/>
    <w:pPr>
      <w:framePr w:wrap="around"/>
      <w:spacing w:after="160" w:line="240" w:lineRule="auto"/>
    </w:pPr>
    <w:rPr>
      <w:sz w:val="24"/>
    </w:rPr>
  </w:style>
  <w:style w:type="paragraph" w:customStyle="1" w:styleId="141">
    <w:name w:val="封面一致性程度标识"/>
    <w:basedOn w:val="142"/>
    <w:autoRedefine/>
    <w:qFormat/>
    <w:uiPriority w:val="0"/>
    <w:pPr>
      <w:framePr w:wrap="around"/>
      <w:spacing w:before="440"/>
    </w:pPr>
    <w:rPr>
      <w:rFonts w:ascii="宋体" w:eastAsia="宋体"/>
    </w:rPr>
  </w:style>
  <w:style w:type="paragraph" w:customStyle="1" w:styleId="142">
    <w:name w:val="封面标准英文名称"/>
    <w:basedOn w:val="143"/>
    <w:autoRedefine/>
    <w:qFormat/>
    <w:uiPriority w:val="0"/>
    <w:pPr>
      <w:framePr w:wrap="around"/>
      <w:spacing w:before="370" w:line="400" w:lineRule="exact"/>
    </w:pPr>
    <w:rPr>
      <w:rFonts w:ascii="Times New Roman"/>
      <w:sz w:val="28"/>
      <w:szCs w:val="28"/>
    </w:rPr>
  </w:style>
  <w:style w:type="paragraph" w:customStyle="1" w:styleId="143">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4">
    <w:name w:val="目次、标准名称标题"/>
    <w:basedOn w:val="1"/>
    <w:next w:val="34"/>
    <w:autoRedefine/>
    <w:qFormat/>
    <w:uiPriority w:val="0"/>
    <w:pPr>
      <w:keepNext/>
      <w:pageBreakBefore/>
      <w:widowControl/>
      <w:shd w:val="clear" w:color="FFFFFF" w:fill="FFFFFF"/>
      <w:spacing w:before="640" w:after="560" w:line="460" w:lineRule="exact"/>
      <w:outlineLvl w:val="0"/>
    </w:pPr>
    <w:rPr>
      <w:rFonts w:ascii="黑体" w:eastAsia="黑体"/>
      <w:kern w:val="0"/>
      <w:sz w:val="32"/>
      <w:szCs w:val="20"/>
    </w:rPr>
  </w:style>
  <w:style w:type="paragraph" w:customStyle="1" w:styleId="145">
    <w:name w:val="条文脚注"/>
    <w:basedOn w:val="35"/>
    <w:autoRedefine/>
    <w:qFormat/>
    <w:uiPriority w:val="0"/>
    <w:pPr>
      <w:numPr>
        <w:numId w:val="0"/>
      </w:numPr>
      <w:jc w:val="both"/>
    </w:pPr>
  </w:style>
  <w:style w:type="paragraph" w:customStyle="1" w:styleId="146">
    <w:name w:val="四级条标题"/>
    <w:basedOn w:val="102"/>
    <w:next w:val="34"/>
    <w:autoRedefine/>
    <w:qFormat/>
    <w:uiPriority w:val="0"/>
    <w:pPr>
      <w:ind w:left="0"/>
      <w:outlineLvl w:val="5"/>
    </w:pPr>
  </w:style>
  <w:style w:type="paragraph" w:customStyle="1" w:styleId="147">
    <w:name w:val="xl115"/>
    <w:basedOn w:val="1"/>
    <w:autoRedefine/>
    <w:qFormat/>
    <w:uiPriority w:val="0"/>
    <w:pPr>
      <w:widowControl/>
      <w:pBdr>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148">
    <w:name w:val="三级"/>
    <w:basedOn w:val="149"/>
    <w:autoRedefine/>
    <w:qFormat/>
    <w:uiPriority w:val="0"/>
    <w:pPr>
      <w:numPr>
        <w:ilvl w:val="0"/>
        <w:numId w:val="0"/>
      </w:numPr>
      <w:spacing w:before="50" w:beforeLines="50" w:after="50" w:afterLines="50"/>
    </w:pPr>
    <w:rPr>
      <w:rFonts w:eastAsia="黑体"/>
    </w:rPr>
  </w:style>
  <w:style w:type="paragraph" w:customStyle="1" w:styleId="149">
    <w:name w:val="二级无"/>
    <w:basedOn w:val="97"/>
    <w:autoRedefine/>
    <w:qFormat/>
    <w:uiPriority w:val="0"/>
    <w:pPr>
      <w:spacing w:before="0" w:beforeLines="0" w:after="0" w:afterLines="0"/>
    </w:pPr>
    <w:rPr>
      <w:rFonts w:ascii="宋体" w:eastAsia="宋体"/>
    </w:rPr>
  </w:style>
  <w:style w:type="paragraph" w:customStyle="1" w:styleId="150">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51">
    <w:name w:val="封面标准号2"/>
    <w:autoRedefine/>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2">
    <w:name w:val="示例后文字"/>
    <w:basedOn w:val="34"/>
    <w:next w:val="34"/>
    <w:autoRedefine/>
    <w:qFormat/>
    <w:uiPriority w:val="0"/>
    <w:pPr>
      <w:ind w:firstLine="360"/>
    </w:pPr>
    <w:rPr>
      <w:sz w:val="18"/>
    </w:rPr>
  </w:style>
  <w:style w:type="paragraph" w:customStyle="1" w:styleId="15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54">
    <w:name w:val="附录三级无"/>
    <w:basedOn w:val="111"/>
    <w:autoRedefine/>
    <w:qFormat/>
    <w:uiPriority w:val="0"/>
    <w:pPr>
      <w:tabs>
        <w:tab w:val="clear" w:pos="360"/>
      </w:tabs>
      <w:spacing w:before="0" w:beforeLines="0" w:after="0" w:afterLines="0"/>
    </w:pPr>
    <w:rPr>
      <w:rFonts w:ascii="宋体" w:eastAsia="宋体"/>
      <w:szCs w:val="21"/>
    </w:rPr>
  </w:style>
  <w:style w:type="paragraph" w:customStyle="1" w:styleId="155">
    <w:name w:val="列项——（一级）"/>
    <w:autoRedefine/>
    <w:qFormat/>
    <w:uiPriority w:val="0"/>
    <w:pPr>
      <w:widowControl w:val="0"/>
      <w:numPr>
        <w:ilvl w:val="0"/>
        <w:numId w:val="10"/>
      </w:numPr>
      <w:jc w:val="both"/>
    </w:pPr>
    <w:rPr>
      <w:rFonts w:ascii="宋体" w:hAnsi="Times New Roman" w:eastAsia="宋体" w:cs="Times New Roman"/>
      <w:sz w:val="21"/>
      <w:lang w:val="en-US" w:eastAsia="zh-CN" w:bidi="ar-SA"/>
    </w:rPr>
  </w:style>
  <w:style w:type="paragraph" w:customStyle="1" w:styleId="156">
    <w:name w:val="样式 正文（首行缩进两字） Char + Times New Roman"/>
    <w:basedOn w:val="1"/>
    <w:autoRedefine/>
    <w:qFormat/>
    <w:uiPriority w:val="0"/>
    <w:pPr>
      <w:topLinePunct/>
      <w:snapToGrid w:val="0"/>
    </w:pPr>
    <w:rPr>
      <w:rFonts w:cs="宋体"/>
      <w:szCs w:val="21"/>
    </w:rPr>
  </w:style>
  <w:style w:type="paragraph" w:customStyle="1" w:styleId="157">
    <w:name w:val="xl7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58">
    <w:name w:val="注：（正文）"/>
    <w:basedOn w:val="81"/>
    <w:next w:val="34"/>
    <w:autoRedefine/>
    <w:qFormat/>
    <w:uiPriority w:val="0"/>
    <w:pPr>
      <w:numPr>
        <w:ilvl w:val="0"/>
        <w:numId w:val="12"/>
      </w:numPr>
    </w:pPr>
  </w:style>
  <w:style w:type="paragraph" w:customStyle="1" w:styleId="159">
    <w:name w:val="xl102"/>
    <w:basedOn w:val="1"/>
    <w:autoRedefine/>
    <w:qFormat/>
    <w:uiPriority w:val="0"/>
    <w:pPr>
      <w:widowControl/>
      <w:pBdr>
        <w:top w:val="single" w:color="auto" w:sz="4" w:space="0"/>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0">
    <w:name w:val="xl81"/>
    <w:basedOn w:val="1"/>
    <w:autoRedefine/>
    <w:qFormat/>
    <w:uiPriority w:val="0"/>
    <w:pPr>
      <w:widowControl/>
      <w:pBdr>
        <w:right w:val="single" w:color="auto" w:sz="4" w:space="0"/>
      </w:pBdr>
      <w:spacing w:before="100" w:beforeAutospacing="1" w:after="100" w:afterAutospacing="1"/>
      <w:jc w:val="left"/>
    </w:pPr>
    <w:rPr>
      <w:rFonts w:cs="宋体"/>
      <w:b/>
      <w:bCs/>
      <w:kern w:val="0"/>
      <w:sz w:val="24"/>
    </w:rPr>
  </w:style>
  <w:style w:type="paragraph" w:customStyle="1" w:styleId="161">
    <w:name w:val="xl70"/>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62">
    <w:name w:val="编号列项（三级）"/>
    <w:autoRedefine/>
    <w:qFormat/>
    <w:uiPriority w:val="0"/>
    <w:rPr>
      <w:rFonts w:ascii="宋体" w:hAnsi="Times New Roman" w:eastAsia="宋体" w:cs="Times New Roman"/>
      <w:sz w:val="21"/>
      <w:lang w:val="en-US" w:eastAsia="zh-CN" w:bidi="ar-SA"/>
    </w:rPr>
  </w:style>
  <w:style w:type="paragraph" w:customStyle="1" w:styleId="163">
    <w:name w:val="Table Paragraph"/>
    <w:basedOn w:val="1"/>
    <w:autoRedefine/>
    <w:qFormat/>
    <w:uiPriority w:val="1"/>
    <w:pPr>
      <w:autoSpaceDE w:val="0"/>
      <w:autoSpaceDN w:val="0"/>
      <w:jc w:val="left"/>
    </w:pPr>
    <w:rPr>
      <w:rFonts w:cs="宋体"/>
      <w:kern w:val="0"/>
      <w:sz w:val="22"/>
      <w:szCs w:val="22"/>
      <w:lang w:val="ca-ES" w:eastAsia="en-US"/>
    </w:rPr>
  </w:style>
  <w:style w:type="paragraph" w:customStyle="1" w:styleId="164">
    <w:name w:val="xl12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165">
    <w:name w:val="xl106"/>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66">
    <w:name w:val="xl86"/>
    <w:basedOn w:val="1"/>
    <w:autoRedefine/>
    <w:qFormat/>
    <w:uiPriority w:val="0"/>
    <w:pPr>
      <w:widowControl/>
      <w:pBdr>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67">
    <w:name w:val="xl98"/>
    <w:basedOn w:val="1"/>
    <w:autoRedefine/>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168">
    <w:name w:val="三级无"/>
    <w:basedOn w:val="102"/>
    <w:autoRedefine/>
    <w:qFormat/>
    <w:uiPriority w:val="0"/>
    <w:pPr>
      <w:spacing w:before="0" w:beforeLines="0" w:after="0" w:afterLines="0"/>
    </w:pPr>
    <w:rPr>
      <w:rFonts w:ascii="宋体" w:eastAsia="宋体"/>
    </w:rPr>
  </w:style>
  <w:style w:type="paragraph" w:customStyle="1" w:styleId="169">
    <w:name w:val="附录字母编号列项（一级）"/>
    <w:autoRedefine/>
    <w:qFormat/>
    <w:uiPriority w:val="0"/>
    <w:pPr>
      <w:numPr>
        <w:ilvl w:val="0"/>
        <w:numId w:val="13"/>
      </w:numPr>
    </w:pPr>
    <w:rPr>
      <w:rFonts w:ascii="宋体" w:hAnsi="Times New Roman" w:eastAsia="宋体" w:cs="Times New Roman"/>
      <w:sz w:val="21"/>
      <w:lang w:val="en-US" w:eastAsia="zh-CN" w:bidi="ar-SA"/>
    </w:rPr>
  </w:style>
  <w:style w:type="paragraph" w:customStyle="1" w:styleId="170">
    <w:name w:val="xl83"/>
    <w:basedOn w:val="1"/>
    <w:autoRedefine/>
    <w:qFormat/>
    <w:uiPriority w:val="0"/>
    <w:pPr>
      <w:widowControl/>
      <w:pBdr>
        <w:right w:val="single" w:color="auto" w:sz="4" w:space="0"/>
      </w:pBdr>
      <w:spacing w:before="100" w:beforeAutospacing="1" w:after="100" w:afterAutospacing="1"/>
      <w:ind w:firstLine="200" w:firstLineChars="200"/>
      <w:jc w:val="left"/>
    </w:pPr>
    <w:rPr>
      <w:rFonts w:cs="宋体"/>
      <w:kern w:val="0"/>
      <w:sz w:val="24"/>
    </w:rPr>
  </w:style>
  <w:style w:type="paragraph" w:customStyle="1" w:styleId="171">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172">
    <w:name w:val="_Style 170"/>
    <w:basedOn w:val="3"/>
    <w:next w:val="1"/>
    <w:autoRedefine/>
    <w:qFormat/>
    <w:uiPriority w:val="39"/>
    <w:pPr>
      <w:numPr>
        <w:numId w:val="0"/>
      </w:numPr>
      <w:adjustRightInd/>
      <w:spacing w:before="240" w:beforeLines="0" w:after="0" w:afterLines="0" w:line="259" w:lineRule="auto"/>
      <w:jc w:val="left"/>
      <w:outlineLvl w:val="9"/>
    </w:pPr>
    <w:rPr>
      <w:rFonts w:ascii="等线 Light" w:hAnsi="等线 Light" w:eastAsia="等线 Light"/>
      <w:b w:val="0"/>
      <w:bCs w:val="0"/>
      <w:color w:val="2F5496"/>
      <w:kern w:val="0"/>
      <w:szCs w:val="32"/>
      <w:lang w:eastAsia="zh-CN"/>
    </w:rPr>
  </w:style>
  <w:style w:type="paragraph" w:customStyle="1" w:styleId="173">
    <w:name w:val="xl91"/>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174">
    <w:name w:val="xl93"/>
    <w:basedOn w:val="1"/>
    <w:autoRedefine/>
    <w:qFormat/>
    <w:uiPriority w:val="0"/>
    <w:pPr>
      <w:widowControl/>
      <w:pBdr>
        <w:top w:val="single" w:color="auto" w:sz="4" w:space="0"/>
        <w:right w:val="single" w:color="auto" w:sz="4" w:space="0"/>
      </w:pBdr>
      <w:spacing w:before="100" w:beforeAutospacing="1" w:after="100" w:afterAutospacing="1"/>
      <w:jc w:val="left"/>
    </w:pPr>
    <w:rPr>
      <w:rFonts w:cs="宋体"/>
      <w:kern w:val="0"/>
      <w:sz w:val="24"/>
    </w:rPr>
  </w:style>
  <w:style w:type="paragraph" w:customStyle="1" w:styleId="175">
    <w:name w:val="封面标准文稿编辑信息"/>
    <w:basedOn w:val="140"/>
    <w:autoRedefine/>
    <w:qFormat/>
    <w:uiPriority w:val="0"/>
    <w:pPr>
      <w:framePr w:wrap="around"/>
      <w:spacing w:before="180" w:line="180" w:lineRule="exact"/>
    </w:pPr>
    <w:rPr>
      <w:sz w:val="21"/>
    </w:rPr>
  </w:style>
  <w:style w:type="paragraph" w:customStyle="1" w:styleId="176">
    <w:name w:val="附录标识"/>
    <w:basedOn w:val="1"/>
    <w:next w:val="34"/>
    <w:autoRedefine/>
    <w:qFormat/>
    <w:uiPriority w:val="0"/>
    <w:pPr>
      <w:keepNext/>
      <w:widowControl/>
      <w:numPr>
        <w:ilvl w:val="0"/>
        <w:numId w:val="9"/>
      </w:numPr>
      <w:shd w:val="clear" w:color="FFFFFF" w:fill="FFFFFF"/>
      <w:tabs>
        <w:tab w:val="left" w:pos="360"/>
        <w:tab w:val="left" w:pos="6405"/>
      </w:tabs>
      <w:spacing w:before="640" w:after="280"/>
      <w:outlineLvl w:val="0"/>
    </w:pPr>
    <w:rPr>
      <w:rFonts w:ascii="黑体" w:eastAsia="黑体"/>
      <w:kern w:val="0"/>
      <w:szCs w:val="20"/>
    </w:rPr>
  </w:style>
  <w:style w:type="paragraph" w:customStyle="1" w:styleId="177">
    <w:name w:val="五级条标题"/>
    <w:basedOn w:val="146"/>
    <w:next w:val="34"/>
    <w:autoRedefine/>
    <w:qFormat/>
    <w:uiPriority w:val="0"/>
    <w:pPr>
      <w:numPr>
        <w:ilvl w:val="5"/>
        <w:numId w:val="3"/>
      </w:numPr>
      <w:outlineLvl w:val="6"/>
    </w:pPr>
  </w:style>
  <w:style w:type="paragraph" w:customStyle="1" w:styleId="178">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79">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0">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1">
    <w:name w:val="xl10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82">
    <w:name w:val="xl85"/>
    <w:basedOn w:val="1"/>
    <w:autoRedefine/>
    <w:qFormat/>
    <w:uiPriority w:val="0"/>
    <w:pPr>
      <w:widowControl/>
      <w:pBdr>
        <w:right w:val="single" w:color="auto" w:sz="4" w:space="0"/>
      </w:pBdr>
      <w:spacing w:before="100" w:beforeAutospacing="1" w:after="100" w:afterAutospacing="1"/>
      <w:ind w:firstLine="200" w:firstLineChars="200"/>
      <w:jc w:val="left"/>
    </w:pPr>
    <w:rPr>
      <w:rFonts w:cs="宋体"/>
      <w:color w:val="FF0000"/>
      <w:kern w:val="0"/>
      <w:sz w:val="24"/>
    </w:rPr>
  </w:style>
  <w:style w:type="paragraph" w:customStyle="1" w:styleId="183">
    <w:name w:val="附录表标号"/>
    <w:basedOn w:val="1"/>
    <w:next w:val="34"/>
    <w:autoRedefine/>
    <w:qFormat/>
    <w:uiPriority w:val="0"/>
    <w:pPr>
      <w:numPr>
        <w:ilvl w:val="0"/>
        <w:numId w:val="14"/>
      </w:numPr>
      <w:tabs>
        <w:tab w:val="clear" w:pos="0"/>
      </w:tabs>
      <w:spacing w:line="14" w:lineRule="exact"/>
      <w:ind w:left="811" w:hanging="448"/>
      <w:outlineLvl w:val="0"/>
    </w:pPr>
    <w:rPr>
      <w:color w:val="FFFFFF"/>
    </w:rPr>
  </w:style>
  <w:style w:type="paragraph" w:customStyle="1" w:styleId="184">
    <w:name w:val="数字编号列项（二级）"/>
    <w:autoRedefine/>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85">
    <w:name w:val="xl104"/>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6">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87">
    <w:name w:val="注×："/>
    <w:autoRedefine/>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xl79"/>
    <w:basedOn w:val="1"/>
    <w:autoRedefine/>
    <w:qFormat/>
    <w:uiPriority w:val="0"/>
    <w:pPr>
      <w:widowControl/>
      <w:pBdr>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89">
    <w:name w:val="列项◆（三级）"/>
    <w:basedOn w:val="1"/>
    <w:autoRedefine/>
    <w:qFormat/>
    <w:uiPriority w:val="0"/>
    <w:pPr>
      <w:numPr>
        <w:ilvl w:val="2"/>
        <w:numId w:val="10"/>
      </w:numPr>
    </w:pPr>
    <w:rPr>
      <w:szCs w:val="21"/>
    </w:rPr>
  </w:style>
  <w:style w:type="paragraph" w:customStyle="1" w:styleId="190">
    <w:name w:val="示例×："/>
    <w:basedOn w:val="76"/>
    <w:autoRedefine/>
    <w:qFormat/>
    <w:uiPriority w:val="0"/>
    <w:pPr>
      <w:numPr>
        <w:numId w:val="16"/>
      </w:numPr>
      <w:spacing w:before="0" w:beforeLines="0" w:after="0" w:afterLines="0"/>
      <w:outlineLvl w:val="9"/>
    </w:pPr>
    <w:rPr>
      <w:rFonts w:ascii="宋体" w:eastAsia="宋体"/>
      <w:sz w:val="18"/>
      <w:szCs w:val="18"/>
    </w:rPr>
  </w:style>
  <w:style w:type="paragraph" w:customStyle="1" w:styleId="191">
    <w:name w:val="xl116"/>
    <w:basedOn w:val="1"/>
    <w:autoRedefine/>
    <w:qFormat/>
    <w:uiPriority w:val="0"/>
    <w:pPr>
      <w:widowControl/>
      <w:pBdr>
        <w:top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192">
    <w:name w:val="段(正文）"/>
    <w:autoRedefine/>
    <w:qFormat/>
    <w:uiPriority w:val="0"/>
    <w:pPr>
      <w:autoSpaceDE w:val="0"/>
      <w:autoSpaceDN w:val="0"/>
      <w:ind w:firstLine="420"/>
      <w:jc w:val="both"/>
    </w:pPr>
    <w:rPr>
      <w:rFonts w:ascii="宋体" w:hAnsi="Times New Roman" w:eastAsia="宋体" w:cs="Times New Roman"/>
      <w:sz w:val="21"/>
      <w:lang w:val="en-US" w:eastAsia="zh-CN" w:bidi="ar-SA"/>
    </w:rPr>
  </w:style>
  <w:style w:type="paragraph" w:customStyle="1" w:styleId="193">
    <w:name w:val="附录图标题"/>
    <w:basedOn w:val="1"/>
    <w:next w:val="34"/>
    <w:autoRedefine/>
    <w:qFormat/>
    <w:uiPriority w:val="0"/>
    <w:pPr>
      <w:numPr>
        <w:ilvl w:val="1"/>
        <w:numId w:val="17"/>
      </w:numPr>
      <w:tabs>
        <w:tab w:val="left" w:pos="363"/>
      </w:tabs>
      <w:spacing w:before="50" w:beforeLines="50" w:after="50" w:afterLines="50"/>
      <w:ind w:left="0" w:firstLine="0"/>
    </w:pPr>
    <w:rPr>
      <w:rFonts w:ascii="黑体" w:eastAsia="黑体"/>
      <w:szCs w:val="21"/>
    </w:rPr>
  </w:style>
  <w:style w:type="paragraph" w:customStyle="1" w:styleId="194">
    <w:name w:val="font7"/>
    <w:basedOn w:val="1"/>
    <w:autoRedefine/>
    <w:qFormat/>
    <w:uiPriority w:val="0"/>
    <w:pPr>
      <w:widowControl/>
      <w:spacing w:before="100" w:beforeAutospacing="1" w:after="100" w:afterAutospacing="1"/>
      <w:jc w:val="left"/>
    </w:pPr>
    <w:rPr>
      <w:rFonts w:cs="宋体"/>
      <w:color w:val="000000"/>
      <w:kern w:val="0"/>
      <w:sz w:val="22"/>
      <w:szCs w:val="22"/>
    </w:rPr>
  </w:style>
  <w:style w:type="paragraph" w:customStyle="1" w:styleId="195">
    <w:name w:val="xl84"/>
    <w:basedOn w:val="1"/>
    <w:autoRedefine/>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196">
    <w:name w:val="附录图标号"/>
    <w:basedOn w:val="1"/>
    <w:autoRedefine/>
    <w:qFormat/>
    <w:uiPriority w:val="0"/>
    <w:pPr>
      <w:keepNext/>
      <w:pageBreakBefore/>
      <w:widowControl/>
      <w:numPr>
        <w:ilvl w:val="0"/>
        <w:numId w:val="17"/>
      </w:numPr>
      <w:spacing w:line="14" w:lineRule="exact"/>
      <w:ind w:left="0" w:firstLine="363"/>
      <w:outlineLvl w:val="0"/>
    </w:pPr>
    <w:rPr>
      <w:color w:val="FFFFFF"/>
    </w:rPr>
  </w:style>
  <w:style w:type="paragraph" w:customStyle="1" w:styleId="19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98">
    <w:name w:val="xl114"/>
    <w:basedOn w:val="1"/>
    <w:autoRedefine/>
    <w:qFormat/>
    <w:uiPriority w:val="0"/>
    <w:pPr>
      <w:widowControl/>
      <w:pBdr>
        <w:top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199">
    <w:name w:val="xl94"/>
    <w:basedOn w:val="1"/>
    <w:autoRedefine/>
    <w:qFormat/>
    <w:uiPriority w:val="0"/>
    <w:pPr>
      <w:widowControl/>
      <w:pBdr>
        <w:top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0">
    <w:name w:val="标准书眉_偶数页"/>
    <w:basedOn w:val="180"/>
    <w:next w:val="1"/>
    <w:autoRedefine/>
    <w:qFormat/>
    <w:uiPriority w:val="0"/>
    <w:pPr>
      <w:jc w:val="left"/>
    </w:pPr>
  </w:style>
  <w:style w:type="paragraph" w:customStyle="1" w:styleId="201">
    <w:name w:val="xl112"/>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02">
    <w:name w:val="标准书眉一"/>
    <w:autoRedefine/>
    <w:qFormat/>
    <w:uiPriority w:val="0"/>
    <w:pPr>
      <w:jc w:val="both"/>
    </w:pPr>
    <w:rPr>
      <w:rFonts w:ascii="Times New Roman" w:hAnsi="Times New Roman" w:eastAsia="宋体" w:cs="Times New Roman"/>
      <w:lang w:val="en-US" w:eastAsia="zh-CN" w:bidi="ar-SA"/>
    </w:rPr>
  </w:style>
  <w:style w:type="paragraph" w:customStyle="1" w:styleId="203">
    <w:name w:val="xl110"/>
    <w:basedOn w:val="1"/>
    <w:autoRedefine/>
    <w:qFormat/>
    <w:uiPriority w:val="0"/>
    <w:pPr>
      <w:widowControl/>
      <w:pBdr>
        <w:top w:val="single" w:color="auto" w:sz="4" w:space="0"/>
        <w:left w:val="single" w:color="auto" w:sz="4" w:space="14"/>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04">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05">
    <w:name w:val="xl6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6">
    <w:name w:val="附录标题"/>
    <w:basedOn w:val="34"/>
    <w:next w:val="34"/>
    <w:autoRedefine/>
    <w:qFormat/>
    <w:uiPriority w:val="0"/>
    <w:pPr>
      <w:ind w:firstLine="0" w:firstLineChars="0"/>
      <w:jc w:val="center"/>
    </w:pPr>
    <w:rPr>
      <w:rFonts w:ascii="黑体" w:eastAsia="黑体"/>
    </w:rPr>
  </w:style>
  <w:style w:type="paragraph" w:customStyle="1" w:styleId="207">
    <w:name w:val="参考文献"/>
    <w:basedOn w:val="1"/>
    <w:next w:val="34"/>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customStyle="1" w:styleId="208">
    <w:name w:val="xl10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09">
    <w:name w:val="xl9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0">
    <w:name w:val="参考文献、索引标题"/>
    <w:basedOn w:val="1"/>
    <w:next w:val="34"/>
    <w:autoRedefine/>
    <w:qFormat/>
    <w:uiPriority w:val="0"/>
    <w:pPr>
      <w:keepNext/>
      <w:pageBreakBefore/>
      <w:widowControl/>
      <w:shd w:val="clear" w:color="FFFFFF" w:fill="FFFFFF"/>
      <w:spacing w:before="640" w:after="200"/>
      <w:outlineLvl w:val="0"/>
    </w:pPr>
    <w:rPr>
      <w:rFonts w:ascii="黑体" w:eastAsia="黑体"/>
      <w:kern w:val="0"/>
      <w:szCs w:val="20"/>
    </w:rPr>
  </w:style>
  <w:style w:type="paragraph" w:styleId="211">
    <w:name w:val="List Paragraph"/>
    <w:basedOn w:val="1"/>
    <w:autoRedefine/>
    <w:qFormat/>
    <w:uiPriority w:val="34"/>
    <w:pPr>
      <w:autoSpaceDE w:val="0"/>
      <w:autoSpaceDN w:val="0"/>
      <w:ind w:left="800"/>
      <w:jc w:val="left"/>
    </w:pPr>
    <w:rPr>
      <w:rFonts w:cs="宋体"/>
      <w:kern w:val="0"/>
      <w:sz w:val="22"/>
      <w:szCs w:val="22"/>
      <w:lang w:val="ca-ES" w:eastAsia="en-US"/>
    </w:rPr>
  </w:style>
  <w:style w:type="paragraph" w:customStyle="1" w:styleId="212">
    <w:name w:val="附录二级无"/>
    <w:basedOn w:val="112"/>
    <w:autoRedefine/>
    <w:qFormat/>
    <w:uiPriority w:val="0"/>
    <w:pPr>
      <w:tabs>
        <w:tab w:val="clear" w:pos="360"/>
      </w:tabs>
      <w:spacing w:before="0" w:beforeLines="0" w:after="0" w:afterLines="0"/>
    </w:pPr>
    <w:rPr>
      <w:rFonts w:ascii="宋体" w:eastAsia="宋体"/>
      <w:szCs w:val="21"/>
    </w:rPr>
  </w:style>
  <w:style w:type="paragraph" w:customStyle="1" w:styleId="213">
    <w:name w:val="封面标准代替信息"/>
    <w:autoRedefine/>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4">
    <w:name w:val="xl6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5">
    <w:name w:val="附录表标题"/>
    <w:basedOn w:val="1"/>
    <w:next w:val="34"/>
    <w:autoRedefine/>
    <w:qFormat/>
    <w:uiPriority w:val="0"/>
    <w:pPr>
      <w:numPr>
        <w:ilvl w:val="1"/>
        <w:numId w:val="14"/>
      </w:numPr>
      <w:tabs>
        <w:tab w:val="left" w:pos="180"/>
      </w:tabs>
      <w:spacing w:before="50" w:beforeLines="50" w:after="50" w:afterLines="50"/>
      <w:ind w:left="0" w:firstLine="0"/>
    </w:pPr>
    <w:rPr>
      <w:rFonts w:ascii="黑体" w:eastAsia="黑体"/>
      <w:szCs w:val="21"/>
    </w:rPr>
  </w:style>
  <w:style w:type="paragraph" w:customStyle="1" w:styleId="2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7">
    <w:name w:val="xl6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18">
    <w:name w:val="xl65"/>
    <w:basedOn w:val="1"/>
    <w:autoRedefine/>
    <w:qFormat/>
    <w:uiPriority w:val="0"/>
    <w:pPr>
      <w:widowControl/>
      <w:pBdr>
        <w:left w:val="single" w:color="auto" w:sz="4" w:space="0"/>
        <w:right w:val="single" w:color="auto" w:sz="4" w:space="0"/>
      </w:pBdr>
      <w:spacing w:before="100" w:beforeAutospacing="1" w:after="100" w:afterAutospacing="1"/>
      <w:jc w:val="left"/>
    </w:pPr>
    <w:rPr>
      <w:rFonts w:cs="宋体"/>
      <w:kern w:val="0"/>
      <w:sz w:val="24"/>
    </w:rPr>
  </w:style>
  <w:style w:type="paragraph" w:customStyle="1" w:styleId="219">
    <w:name w:val="附录公式编号制表符"/>
    <w:basedOn w:val="1"/>
    <w:next w:val="34"/>
    <w:autoRedefine/>
    <w:qFormat/>
    <w:uiPriority w:val="0"/>
    <w:pPr>
      <w:widowControl/>
      <w:tabs>
        <w:tab w:val="center" w:pos="4201"/>
        <w:tab w:val="right" w:leader="dot" w:pos="9298"/>
      </w:tabs>
      <w:autoSpaceDE w:val="0"/>
      <w:autoSpaceDN w:val="0"/>
    </w:pPr>
    <w:rPr>
      <w:kern w:val="0"/>
      <w:szCs w:val="20"/>
    </w:rPr>
  </w:style>
  <w:style w:type="paragraph" w:customStyle="1" w:styleId="220">
    <w:name w:val="xl121"/>
    <w:basedOn w:val="1"/>
    <w:autoRedefine/>
    <w:qFormat/>
    <w:uiPriority w:val="0"/>
    <w:pPr>
      <w:widowControl/>
      <w:spacing w:before="100" w:beforeAutospacing="1" w:after="100" w:afterAutospacing="1"/>
      <w:ind w:firstLine="200" w:firstLineChars="200"/>
      <w:jc w:val="left"/>
    </w:pPr>
    <w:rPr>
      <w:rFonts w:cs="宋体"/>
      <w:kern w:val="0"/>
      <w:sz w:val="24"/>
    </w:rPr>
  </w:style>
  <w:style w:type="paragraph" w:customStyle="1" w:styleId="221">
    <w:name w:val="xl100"/>
    <w:basedOn w:val="1"/>
    <w:autoRedefine/>
    <w:qFormat/>
    <w:uiPriority w:val="0"/>
    <w:pPr>
      <w:widowControl/>
      <w:pBdr>
        <w:left w:val="single" w:color="auto" w:sz="4" w:space="27"/>
        <w:bottom w:val="single" w:color="auto" w:sz="4" w:space="0"/>
        <w:right w:val="single" w:color="auto" w:sz="4" w:space="0"/>
      </w:pBdr>
      <w:spacing w:before="100" w:beforeAutospacing="1" w:after="100" w:afterAutospacing="1"/>
      <w:ind w:firstLine="200" w:firstLineChars="200"/>
      <w:jc w:val="left"/>
    </w:pPr>
    <w:rPr>
      <w:rFonts w:cs="宋体"/>
      <w:kern w:val="0"/>
      <w:sz w:val="24"/>
    </w:rPr>
  </w:style>
  <w:style w:type="paragraph" w:customStyle="1" w:styleId="222">
    <w:name w:val="附录数字编号列项（二级）"/>
    <w:autoRedefine/>
    <w:qFormat/>
    <w:uiPriority w:val="0"/>
    <w:pPr>
      <w:numPr>
        <w:ilvl w:val="1"/>
        <w:numId w:val="13"/>
      </w:numPr>
    </w:pPr>
    <w:rPr>
      <w:rFonts w:ascii="宋体" w:hAnsi="Times New Roman" w:eastAsia="宋体" w:cs="Times New Roman"/>
      <w:sz w:val="21"/>
      <w:lang w:val="en-US" w:eastAsia="zh-CN" w:bidi="ar-SA"/>
    </w:rPr>
  </w:style>
  <w:style w:type="paragraph" w:customStyle="1" w:styleId="223">
    <w:name w:val="xl7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4">
    <w:name w:val="xl95"/>
    <w:basedOn w:val="1"/>
    <w:autoRedefine/>
    <w:qFormat/>
    <w:uiPriority w:val="0"/>
    <w:pPr>
      <w:widowControl/>
      <w:pBdr>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paragraph" w:customStyle="1" w:styleId="225">
    <w:name w:val="xl7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26">
    <w:name w:val="xl7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227">
    <w:name w:val="附录章标题"/>
    <w:next w:val="34"/>
    <w:autoRedefine/>
    <w:qFormat/>
    <w:uiPriority w:val="0"/>
    <w:pPr>
      <w:numPr>
        <w:ilvl w:val="1"/>
        <w:numId w:val="9"/>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28">
    <w:name w:val="附录一级条标题"/>
    <w:basedOn w:val="227"/>
    <w:next w:val="34"/>
    <w:autoRedefine/>
    <w:qFormat/>
    <w:uiPriority w:val="0"/>
    <w:pPr>
      <w:numPr>
        <w:ilvl w:val="2"/>
      </w:numPr>
      <w:autoSpaceDN w:val="0"/>
      <w:spacing w:before="50" w:beforeLines="50" w:after="50" w:afterLines="50"/>
      <w:outlineLvl w:val="2"/>
    </w:pPr>
  </w:style>
  <w:style w:type="paragraph" w:customStyle="1" w:styleId="229">
    <w:name w:val="附录一级无"/>
    <w:basedOn w:val="228"/>
    <w:autoRedefine/>
    <w:qFormat/>
    <w:uiPriority w:val="0"/>
    <w:pPr>
      <w:tabs>
        <w:tab w:val="clear" w:pos="360"/>
      </w:tabs>
      <w:spacing w:before="0" w:beforeLines="0" w:after="0" w:afterLines="0"/>
    </w:pPr>
    <w:rPr>
      <w:rFonts w:ascii="宋体" w:eastAsia="宋体"/>
      <w:szCs w:val="21"/>
    </w:rPr>
  </w:style>
  <w:style w:type="paragraph" w:customStyle="1" w:styleId="230">
    <w:name w:val="列项说明"/>
    <w:basedOn w:val="1"/>
    <w:autoRedefine/>
    <w:qFormat/>
    <w:uiPriority w:val="0"/>
    <w:pPr>
      <w:adjustRightInd w:val="0"/>
      <w:spacing w:line="320" w:lineRule="exact"/>
      <w:ind w:left="400" w:leftChars="200" w:hanging="200" w:hangingChars="200"/>
      <w:jc w:val="left"/>
      <w:textAlignment w:val="baseline"/>
    </w:pPr>
    <w:rPr>
      <w:kern w:val="0"/>
      <w:szCs w:val="20"/>
    </w:rPr>
  </w:style>
  <w:style w:type="paragraph" w:customStyle="1" w:styleId="231">
    <w:name w:val="_TB01"/>
    <w:basedOn w:val="1"/>
    <w:autoRedefine/>
    <w:qFormat/>
    <w:uiPriority w:val="0"/>
    <w:pPr>
      <w:jc w:val="left"/>
    </w:pPr>
    <w:rPr>
      <w:b/>
      <w:i/>
    </w:rPr>
  </w:style>
  <w:style w:type="paragraph" w:customStyle="1" w:styleId="232">
    <w:name w:val="其他标准标志"/>
    <w:basedOn w:val="150"/>
    <w:autoRedefine/>
    <w:qFormat/>
    <w:uiPriority w:val="0"/>
    <w:pPr>
      <w:framePr w:w="6101" w:wrap="around" w:vAnchor="page" w:hAnchor="page" w:x="4673" w:y="942"/>
    </w:pPr>
    <w:rPr>
      <w:w w:val="130"/>
    </w:rPr>
  </w:style>
  <w:style w:type="paragraph" w:customStyle="1" w:styleId="233">
    <w:name w:val="其他发布部门"/>
    <w:basedOn w:val="137"/>
    <w:autoRedefine/>
    <w:qFormat/>
    <w:uiPriority w:val="0"/>
    <w:pPr>
      <w:framePr w:wrap="around" w:y="15310"/>
      <w:spacing w:line="0" w:lineRule="atLeast"/>
    </w:pPr>
    <w:rPr>
      <w:rFonts w:ascii="黑体" w:eastAsia="黑体"/>
      <w:b w:val="0"/>
    </w:rPr>
  </w:style>
  <w:style w:type="paragraph" w:customStyle="1" w:styleId="234">
    <w:name w:val="前言、引言标题"/>
    <w:next w:val="34"/>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5">
    <w:name w:val="实施日期"/>
    <w:basedOn w:val="178"/>
    <w:autoRedefine/>
    <w:qFormat/>
    <w:uiPriority w:val="0"/>
    <w:pPr>
      <w:framePr w:wrap="around" w:vAnchor="page" w:hAnchor="text"/>
      <w:jc w:val="right"/>
    </w:pPr>
  </w:style>
  <w:style w:type="paragraph" w:customStyle="1" w:styleId="236">
    <w:name w:val="四级无"/>
    <w:basedOn w:val="146"/>
    <w:autoRedefine/>
    <w:qFormat/>
    <w:uiPriority w:val="0"/>
    <w:pPr>
      <w:spacing w:before="0" w:beforeLines="0" w:after="0" w:afterLines="0"/>
    </w:pPr>
    <w:rPr>
      <w:rFonts w:ascii="宋体" w:eastAsia="宋体"/>
    </w:rPr>
  </w:style>
  <w:style w:type="paragraph" w:customStyle="1" w:styleId="237">
    <w:name w:val="xl87"/>
    <w:basedOn w:val="1"/>
    <w:autoRedefine/>
    <w:qFormat/>
    <w:uiPriority w:val="0"/>
    <w:pPr>
      <w:widowControl/>
      <w:pBdr>
        <w:right w:val="single" w:color="auto" w:sz="4" w:space="0"/>
      </w:pBdr>
      <w:spacing w:before="100" w:beforeAutospacing="1" w:after="100" w:afterAutospacing="1"/>
      <w:jc w:val="left"/>
    </w:pPr>
    <w:rPr>
      <w:rFonts w:cs="宋体"/>
      <w:kern w:val="0"/>
      <w:sz w:val="24"/>
    </w:rPr>
  </w:style>
  <w:style w:type="paragraph" w:customStyle="1" w:styleId="238">
    <w:name w:val="图标脚注说明"/>
    <w:basedOn w:val="34"/>
    <w:autoRedefine/>
    <w:qFormat/>
    <w:uiPriority w:val="0"/>
    <w:pPr>
      <w:ind w:left="840" w:hanging="420" w:firstLineChars="0"/>
    </w:pPr>
    <w:rPr>
      <w:sz w:val="18"/>
      <w:szCs w:val="18"/>
    </w:rPr>
  </w:style>
  <w:style w:type="paragraph" w:customStyle="1" w:styleId="239">
    <w:name w:val="图表脚注说明"/>
    <w:basedOn w:val="1"/>
    <w:autoRedefine/>
    <w:qFormat/>
    <w:uiPriority w:val="0"/>
    <w:pPr>
      <w:numPr>
        <w:ilvl w:val="0"/>
        <w:numId w:val="18"/>
      </w:numPr>
    </w:pPr>
    <w:rPr>
      <w:sz w:val="18"/>
      <w:szCs w:val="18"/>
    </w:rPr>
  </w:style>
  <w:style w:type="paragraph" w:customStyle="1" w:styleId="240">
    <w:name w:val="图的脚注"/>
    <w:next w:val="34"/>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41">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42">
    <w:name w:val="五级无"/>
    <w:basedOn w:val="177"/>
    <w:autoRedefine/>
    <w:qFormat/>
    <w:uiPriority w:val="0"/>
    <w:pPr>
      <w:spacing w:before="0" w:beforeLines="0" w:after="0" w:afterLines="0"/>
    </w:pPr>
    <w:rPr>
      <w:rFonts w:ascii="宋体" w:eastAsia="宋体"/>
    </w:rPr>
  </w:style>
  <w:style w:type="paragraph" w:customStyle="1" w:styleId="243">
    <w:name w:val="一级无"/>
    <w:basedOn w:val="98"/>
    <w:autoRedefine/>
    <w:qFormat/>
    <w:uiPriority w:val="0"/>
    <w:pPr>
      <w:spacing w:before="0" w:beforeLines="0" w:after="0" w:afterLines="0"/>
    </w:pPr>
    <w:rPr>
      <w:rFonts w:ascii="宋体" w:eastAsia="宋体"/>
    </w:rPr>
  </w:style>
  <w:style w:type="paragraph" w:customStyle="1" w:styleId="244">
    <w:name w:val="正文表标题"/>
    <w:next w:val="34"/>
    <w:autoRedefine/>
    <w:qFormat/>
    <w:uiPriority w:val="0"/>
    <w:pPr>
      <w:numPr>
        <w:ilvl w:val="0"/>
        <w:numId w:val="19"/>
      </w:numPr>
      <w:spacing w:before="156" w:beforeLines="50" w:after="156" w:afterLines="50"/>
      <w:jc w:val="center"/>
    </w:pPr>
    <w:rPr>
      <w:rFonts w:ascii="黑体" w:hAnsi="Times New Roman" w:eastAsia="黑体" w:cs="Times New Roman"/>
      <w:sz w:val="21"/>
      <w:lang w:val="en-US" w:eastAsia="zh-CN" w:bidi="ar-SA"/>
    </w:rPr>
  </w:style>
  <w:style w:type="paragraph" w:customStyle="1" w:styleId="245">
    <w:name w:val="正文公式编号制表符"/>
    <w:basedOn w:val="34"/>
    <w:next w:val="34"/>
    <w:autoRedefine/>
    <w:qFormat/>
    <w:uiPriority w:val="0"/>
    <w:pPr>
      <w:ind w:firstLine="0" w:firstLineChars="0"/>
    </w:pPr>
  </w:style>
  <w:style w:type="paragraph" w:customStyle="1" w:styleId="246">
    <w:name w:val="正文图标题"/>
    <w:next w:val="34"/>
    <w:autoRedefine/>
    <w:qFormat/>
    <w:uiPriority w:val="0"/>
    <w:pPr>
      <w:numPr>
        <w:ilvl w:val="0"/>
        <w:numId w:val="20"/>
      </w:numPr>
      <w:spacing w:before="156" w:beforeLines="50" w:after="156" w:afterLines="50"/>
      <w:jc w:val="center"/>
    </w:pPr>
    <w:rPr>
      <w:rFonts w:ascii="黑体" w:hAnsi="Times New Roman" w:eastAsia="黑体" w:cs="Times New Roman"/>
      <w:sz w:val="21"/>
      <w:lang w:val="en-US" w:eastAsia="zh-CN" w:bidi="ar-SA"/>
    </w:rPr>
  </w:style>
  <w:style w:type="paragraph" w:customStyle="1" w:styleId="247">
    <w:name w:val="xl101"/>
    <w:basedOn w:val="1"/>
    <w:autoRedefine/>
    <w:qFormat/>
    <w:uiPriority w:val="0"/>
    <w:pPr>
      <w:widowControl/>
      <w:pBdr>
        <w:right w:val="single" w:color="auto" w:sz="4" w:space="0"/>
      </w:pBdr>
      <w:spacing w:before="100" w:beforeAutospacing="1" w:after="100" w:afterAutospacing="1"/>
      <w:ind w:firstLine="300" w:firstLineChars="300"/>
      <w:jc w:val="left"/>
    </w:pPr>
    <w:rPr>
      <w:rFonts w:cs="宋体"/>
      <w:color w:val="FF0000"/>
      <w:kern w:val="0"/>
      <w:sz w:val="24"/>
    </w:rPr>
  </w:style>
  <w:style w:type="paragraph" w:customStyle="1" w:styleId="248">
    <w:name w:val="其他发布日期"/>
    <w:basedOn w:val="178"/>
    <w:autoRedefine/>
    <w:qFormat/>
    <w:uiPriority w:val="0"/>
    <w:pPr>
      <w:framePr w:wrap="around" w:vAnchor="page" w:hAnchor="text" w:x="1419"/>
    </w:pPr>
  </w:style>
  <w:style w:type="paragraph" w:customStyle="1" w:styleId="249">
    <w:name w:val="其他实施日期"/>
    <w:basedOn w:val="235"/>
    <w:autoRedefine/>
    <w:qFormat/>
    <w:uiPriority w:val="0"/>
    <w:pPr>
      <w:framePr w:wrap="around"/>
    </w:pPr>
  </w:style>
  <w:style w:type="paragraph" w:customStyle="1" w:styleId="250">
    <w:name w:val="封面标准名称2"/>
    <w:basedOn w:val="143"/>
    <w:autoRedefine/>
    <w:qFormat/>
    <w:uiPriority w:val="0"/>
    <w:pPr>
      <w:framePr w:wrap="around" w:y="4469"/>
      <w:spacing w:before="630" w:beforeLines="630"/>
    </w:pPr>
  </w:style>
  <w:style w:type="paragraph" w:customStyle="1" w:styleId="251">
    <w:name w:val="封面标准英文名称2"/>
    <w:basedOn w:val="142"/>
    <w:autoRedefine/>
    <w:qFormat/>
    <w:uiPriority w:val="0"/>
    <w:pPr>
      <w:framePr w:wrap="around" w:y="4469"/>
    </w:pPr>
  </w:style>
  <w:style w:type="paragraph" w:customStyle="1" w:styleId="252">
    <w:name w:val="封面一致性程度标识2"/>
    <w:basedOn w:val="141"/>
    <w:autoRedefine/>
    <w:qFormat/>
    <w:uiPriority w:val="0"/>
    <w:pPr>
      <w:framePr w:wrap="around" w:y="4469"/>
    </w:pPr>
  </w:style>
  <w:style w:type="paragraph" w:customStyle="1" w:styleId="253">
    <w:name w:val="封面标准文稿类别2"/>
    <w:basedOn w:val="140"/>
    <w:autoRedefine/>
    <w:qFormat/>
    <w:uiPriority w:val="0"/>
    <w:pPr>
      <w:framePr w:wrap="around" w:y="4469"/>
    </w:pPr>
  </w:style>
  <w:style w:type="paragraph" w:customStyle="1" w:styleId="254">
    <w:name w:val="封面标准文稿编辑信息2"/>
    <w:basedOn w:val="175"/>
    <w:autoRedefine/>
    <w:qFormat/>
    <w:uiPriority w:val="0"/>
    <w:pPr>
      <w:framePr w:wrap="around" w:y="4469"/>
    </w:pPr>
  </w:style>
  <w:style w:type="paragraph" w:customStyle="1" w:styleId="255">
    <w:name w:val="彩色底纹 - 着色 31"/>
    <w:basedOn w:val="1"/>
    <w:autoRedefine/>
    <w:qFormat/>
    <w:uiPriority w:val="0"/>
    <w:pPr>
      <w:ind w:firstLine="420" w:firstLineChars="200"/>
    </w:pPr>
    <w:rPr>
      <w:rFonts w:ascii="Calibri" w:hAnsi="Calibri" w:cs="Calibri"/>
      <w:szCs w:val="21"/>
    </w:rPr>
  </w:style>
  <w:style w:type="paragraph" w:customStyle="1" w:styleId="256">
    <w:name w:val="p16"/>
    <w:basedOn w:val="1"/>
    <w:autoRedefine/>
    <w:qFormat/>
    <w:uiPriority w:val="0"/>
    <w:pPr>
      <w:widowControl/>
      <w:ind w:firstLine="420"/>
    </w:pPr>
    <w:rPr>
      <w:rFonts w:cs="宋体"/>
      <w:kern w:val="0"/>
      <w:szCs w:val="21"/>
    </w:rPr>
  </w:style>
  <w:style w:type="paragraph" w:customStyle="1" w:styleId="257">
    <w:name w:val="xl72"/>
    <w:basedOn w:val="1"/>
    <w:autoRedefine/>
    <w:qFormat/>
    <w:uiPriority w:val="0"/>
    <w:pPr>
      <w:widowControl/>
      <w:spacing w:before="100" w:beforeAutospacing="1" w:after="100" w:afterAutospacing="1"/>
      <w:jc w:val="left"/>
    </w:pPr>
    <w:rPr>
      <w:rFonts w:cs="宋体"/>
      <w:kern w:val="0"/>
      <w:sz w:val="24"/>
    </w:rPr>
  </w:style>
  <w:style w:type="paragraph" w:customStyle="1" w:styleId="258">
    <w:name w:val="xl7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宋体"/>
      <w:b/>
      <w:bCs/>
      <w:kern w:val="0"/>
      <w:sz w:val="24"/>
    </w:rPr>
  </w:style>
  <w:style w:type="paragraph" w:customStyle="1" w:styleId="259">
    <w:name w:val="xl103"/>
    <w:basedOn w:val="1"/>
    <w:autoRedefine/>
    <w:qFormat/>
    <w:uiPriority w:val="0"/>
    <w:pPr>
      <w:widowControl/>
      <w:pBdr>
        <w:left w:val="single" w:color="auto" w:sz="4" w:space="27"/>
        <w:right w:val="single" w:color="auto" w:sz="4" w:space="0"/>
      </w:pBdr>
      <w:spacing w:before="100" w:beforeAutospacing="1" w:after="100" w:afterAutospacing="1"/>
      <w:ind w:firstLine="200" w:firstLineChars="200"/>
      <w:jc w:val="left"/>
    </w:pPr>
    <w:rPr>
      <w:rFonts w:cs="宋体"/>
      <w:kern w:val="0"/>
      <w:sz w:val="24"/>
    </w:rPr>
  </w:style>
  <w:style w:type="paragraph" w:customStyle="1" w:styleId="260">
    <w:name w:val="xl82"/>
    <w:basedOn w:val="1"/>
    <w:autoRedefine/>
    <w:qFormat/>
    <w:uiPriority w:val="0"/>
    <w:pPr>
      <w:widowControl/>
      <w:pBdr>
        <w:right w:val="single" w:color="auto" w:sz="4" w:space="0"/>
      </w:pBdr>
      <w:spacing w:before="100" w:beforeAutospacing="1" w:after="100" w:afterAutospacing="1"/>
      <w:ind w:firstLine="300" w:firstLineChars="300"/>
      <w:jc w:val="left"/>
    </w:pPr>
    <w:rPr>
      <w:rFonts w:cs="宋体"/>
      <w:kern w:val="0"/>
      <w:sz w:val="24"/>
    </w:rPr>
  </w:style>
  <w:style w:type="paragraph" w:customStyle="1" w:styleId="261">
    <w:name w:val="xl111"/>
    <w:basedOn w:val="1"/>
    <w:autoRedefine/>
    <w:qFormat/>
    <w:uiPriority w:val="0"/>
    <w:pPr>
      <w:widowControl/>
      <w:pBdr>
        <w:left w:val="single" w:color="auto" w:sz="4" w:space="31"/>
        <w:bottom w:val="single" w:color="auto" w:sz="4" w:space="0"/>
        <w:right w:val="single" w:color="auto" w:sz="4" w:space="0"/>
      </w:pBdr>
      <w:spacing w:before="100" w:beforeAutospacing="1" w:after="100" w:afterAutospacing="1"/>
      <w:ind w:firstLine="300" w:firstLineChars="300"/>
      <w:jc w:val="left"/>
    </w:pPr>
    <w:rPr>
      <w:rFonts w:cs="宋体"/>
      <w:kern w:val="0"/>
      <w:sz w:val="24"/>
    </w:rPr>
  </w:style>
  <w:style w:type="paragraph" w:customStyle="1" w:styleId="262">
    <w:name w:val="xl97"/>
    <w:basedOn w:val="1"/>
    <w:autoRedefine/>
    <w:qFormat/>
    <w:uiPriority w:val="0"/>
    <w:pPr>
      <w:widowControl/>
      <w:pBdr>
        <w:left w:val="single" w:color="auto" w:sz="4" w:space="14"/>
        <w:right w:val="single" w:color="auto" w:sz="4" w:space="0"/>
      </w:pBdr>
      <w:spacing w:before="100" w:beforeAutospacing="1" w:after="100" w:afterAutospacing="1"/>
      <w:ind w:firstLine="100" w:firstLineChars="100"/>
      <w:jc w:val="left"/>
    </w:pPr>
    <w:rPr>
      <w:rFonts w:cs="宋体"/>
      <w:kern w:val="0"/>
      <w:sz w:val="24"/>
    </w:rPr>
  </w:style>
  <w:style w:type="paragraph" w:customStyle="1" w:styleId="263">
    <w:name w:val="xl99"/>
    <w:basedOn w:val="1"/>
    <w:autoRedefine/>
    <w:qFormat/>
    <w:uiPriority w:val="0"/>
    <w:pPr>
      <w:widowControl/>
      <w:pBdr>
        <w:left w:val="single" w:color="auto" w:sz="4" w:space="27"/>
      </w:pBdr>
      <w:spacing w:before="100" w:beforeAutospacing="1" w:after="100" w:afterAutospacing="1"/>
      <w:ind w:firstLine="200" w:firstLineChars="200"/>
      <w:jc w:val="left"/>
    </w:pPr>
    <w:rPr>
      <w:rFonts w:cs="宋体"/>
      <w:kern w:val="0"/>
      <w:sz w:val="24"/>
    </w:rPr>
  </w:style>
  <w:style w:type="paragraph" w:customStyle="1" w:styleId="264">
    <w:name w:val="xl11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100" w:firstLineChars="100"/>
      <w:jc w:val="left"/>
    </w:pPr>
    <w:rPr>
      <w:rFonts w:cs="宋体"/>
      <w:kern w:val="0"/>
      <w:sz w:val="24"/>
    </w:rPr>
  </w:style>
  <w:style w:type="table" w:customStyle="1" w:styleId="265">
    <w:name w:val="Table Normal"/>
    <w:autoRedefine/>
    <w:unhideWhenUsed/>
    <w:qFormat/>
    <w:uiPriority w:val="0"/>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66">
    <w:name w:val="页眉 Char1"/>
    <w:autoRedefine/>
    <w:qFormat/>
    <w:uiPriority w:val="99"/>
    <w:rPr>
      <w:sz w:val="18"/>
      <w:szCs w:val="18"/>
    </w:rPr>
  </w:style>
  <w:style w:type="character" w:customStyle="1" w:styleId="267">
    <w:name w:val="页脚 Char1"/>
    <w:autoRedefine/>
    <w:qFormat/>
    <w:uiPriority w:val="99"/>
    <w:rPr>
      <w:sz w:val="18"/>
      <w:szCs w:val="18"/>
    </w:rPr>
  </w:style>
  <w:style w:type="paragraph" w:customStyle="1" w:styleId="268">
    <w:name w:val="_标准条文"/>
    <w:basedOn w:val="1"/>
    <w:autoRedefine/>
    <w:qFormat/>
    <w:uiPriority w:val="0"/>
    <w:pPr>
      <w:overflowPunct w:val="0"/>
      <w:snapToGrid w:val="0"/>
      <w:spacing w:beforeLines="25" w:afterLines="25" w:line="276" w:lineRule="auto"/>
      <w:ind w:firstLine="200" w:firstLineChars="200"/>
    </w:pPr>
    <w:rPr>
      <w:rFonts w:ascii="Arial" w:hAnsi="Arial" w:cs="宋体"/>
      <w:szCs w:val="20"/>
    </w:rPr>
  </w:style>
  <w:style w:type="paragraph" w:customStyle="1" w:styleId="269">
    <w:name w:val="样式1正文（首行缩进两字） Char"/>
    <w:basedOn w:val="1"/>
    <w:next w:val="1"/>
    <w:autoRedefine/>
    <w:qFormat/>
    <w:uiPriority w:val="0"/>
    <w:pPr>
      <w:spacing w:line="276" w:lineRule="auto"/>
      <w:ind w:firstLine="420" w:firstLineChars="200"/>
    </w:pPr>
    <w:rPr>
      <w:rFonts w:cs="宋体"/>
      <w:szCs w:val="21"/>
    </w:rPr>
  </w:style>
  <w:style w:type="paragraph" w:customStyle="1" w:styleId="270">
    <w:name w:val="样式 样式1 样式 编号 a + Times New Roman 段前: 0 行 行距: 多倍行距 1.15 字行 + 左..."/>
    <w:basedOn w:val="1"/>
    <w:autoRedefine/>
    <w:qFormat/>
    <w:uiPriority w:val="0"/>
    <w:pPr>
      <w:spacing w:line="276" w:lineRule="auto"/>
      <w:ind w:left="840" w:leftChars="200" w:hanging="420" w:hangingChars="200"/>
    </w:pPr>
    <w:rPr>
      <w:rFonts w:cs="宋体"/>
      <w:szCs w:val="20"/>
    </w:rPr>
  </w:style>
  <w:style w:type="paragraph" w:customStyle="1" w:styleId="271">
    <w:name w:val="样式 样式1 样式 编号 a + Times New Roman 段前: 0 行 行距: 多倍行距 1.15 字行 + 左侧....."/>
    <w:basedOn w:val="1"/>
    <w:autoRedefine/>
    <w:semiHidden/>
    <w:qFormat/>
    <w:uiPriority w:val="0"/>
    <w:pPr>
      <w:snapToGrid w:val="0"/>
      <w:ind w:left="840" w:leftChars="200" w:hanging="420" w:hangingChars="200"/>
    </w:pPr>
    <w:rPr>
      <w:rFonts w:cs="宋体"/>
      <w:spacing w:val="-6"/>
      <w:kern w:val="21"/>
      <w:szCs w:val="20"/>
    </w:rPr>
  </w:style>
  <w:style w:type="paragraph" w:customStyle="1" w:styleId="272">
    <w:name w:val="样式2 样式 a) + 段前: 0行"/>
    <w:basedOn w:val="1"/>
    <w:autoRedefine/>
    <w:semiHidden/>
    <w:qFormat/>
    <w:uiPriority w:val="0"/>
    <w:pPr>
      <w:tabs>
        <w:tab w:val="left" w:pos="780"/>
      </w:tabs>
      <w:spacing w:line="276" w:lineRule="auto"/>
      <w:ind w:left="420" w:leftChars="200"/>
    </w:pPr>
    <w:rPr>
      <w:szCs w:val="21"/>
    </w:rPr>
  </w:style>
  <w:style w:type="paragraph" w:customStyle="1" w:styleId="273">
    <w:name w:val="样式1-4 Times New Roman行距: 多倍行距 1.15 字行 + 左侧:  4 字符"/>
    <w:basedOn w:val="1"/>
    <w:autoRedefine/>
    <w:semiHidden/>
    <w:qFormat/>
    <w:uiPriority w:val="0"/>
    <w:pPr>
      <w:tabs>
        <w:tab w:val="left" w:pos="315"/>
      </w:tabs>
      <w:spacing w:line="276" w:lineRule="auto"/>
      <w:ind w:left="840" w:leftChars="400"/>
    </w:pPr>
    <w:rPr>
      <w:szCs w:val="21"/>
    </w:rPr>
  </w:style>
  <w:style w:type="paragraph" w:customStyle="1" w:styleId="274">
    <w:name w:val="附录-标准"/>
    <w:basedOn w:val="1"/>
    <w:link w:val="275"/>
    <w:autoRedefine/>
    <w:qFormat/>
    <w:uiPriority w:val="0"/>
    <w:pPr>
      <w:widowControl/>
      <w:tabs>
        <w:tab w:val="left" w:pos="3462"/>
      </w:tabs>
      <w:spacing w:after="284"/>
      <w:contextualSpacing/>
      <w:outlineLvl w:val="0"/>
    </w:pPr>
    <w:rPr>
      <w:rFonts w:ascii="黑体" w:hAnsi="黑体" w:eastAsia="黑体"/>
      <w:sz w:val="32"/>
      <w:szCs w:val="32"/>
    </w:rPr>
  </w:style>
  <w:style w:type="character" w:customStyle="1" w:styleId="275">
    <w:name w:val="附录-标准 字符"/>
    <w:link w:val="274"/>
    <w:autoRedefine/>
    <w:qFormat/>
    <w:uiPriority w:val="0"/>
    <w:rPr>
      <w:rFonts w:ascii="黑体" w:hAnsi="黑体" w:eastAsia="黑体"/>
      <w:kern w:val="2"/>
      <w:sz w:val="32"/>
      <w:szCs w:val="32"/>
    </w:rPr>
  </w:style>
  <w:style w:type="paragraph" w:customStyle="1" w:styleId="276">
    <w:name w:val="附录-条目-标准"/>
    <w:basedOn w:val="1"/>
    <w:link w:val="277"/>
    <w:autoRedefine/>
    <w:qFormat/>
    <w:uiPriority w:val="0"/>
    <w:pPr>
      <w:widowControl/>
      <w:numPr>
        <w:ilvl w:val="1"/>
        <w:numId w:val="21"/>
      </w:numPr>
      <w:tabs>
        <w:tab w:val="left" w:pos="360"/>
      </w:tabs>
      <w:wordWrap w:val="0"/>
      <w:overflowPunct w:val="0"/>
      <w:autoSpaceDE w:val="0"/>
      <w:spacing w:before="312" w:after="312"/>
      <w:textAlignment w:val="baseline"/>
      <w:outlineLvl w:val="1"/>
    </w:pPr>
    <w:rPr>
      <w:rFonts w:ascii="黑体" w:hAnsi="黑体" w:eastAsia="黑体" w:cs="黑体"/>
      <w:kern w:val="21"/>
      <w:szCs w:val="21"/>
    </w:rPr>
  </w:style>
  <w:style w:type="character" w:customStyle="1" w:styleId="277">
    <w:name w:val="附录-条目-标准 字符"/>
    <w:link w:val="276"/>
    <w:autoRedefine/>
    <w:qFormat/>
    <w:uiPriority w:val="0"/>
    <w:rPr>
      <w:rFonts w:ascii="黑体" w:hAnsi="黑体" w:eastAsia="黑体" w:cs="黑体"/>
      <w:kern w:val="21"/>
      <w:sz w:val="21"/>
      <w:szCs w:val="21"/>
    </w:rPr>
  </w:style>
  <w:style w:type="paragraph" w:customStyle="1" w:styleId="278">
    <w:name w:val="附录-章-标准"/>
    <w:basedOn w:val="276"/>
    <w:link w:val="279"/>
    <w:autoRedefine/>
    <w:qFormat/>
    <w:uiPriority w:val="0"/>
    <w:pPr>
      <w:numPr>
        <w:ilvl w:val="0"/>
      </w:numPr>
      <w:spacing w:before="0" w:after="0"/>
      <w:outlineLvl w:val="0"/>
    </w:pPr>
  </w:style>
  <w:style w:type="character" w:customStyle="1" w:styleId="279">
    <w:name w:val="附录-章-标准 字符"/>
    <w:link w:val="278"/>
    <w:autoRedefine/>
    <w:qFormat/>
    <w:uiPriority w:val="0"/>
    <w:rPr>
      <w:rFonts w:ascii="黑体" w:hAnsi="黑体" w:eastAsia="黑体" w:cs="黑体"/>
      <w:kern w:val="21"/>
      <w:sz w:val="21"/>
      <w:szCs w:val="21"/>
    </w:rPr>
  </w:style>
  <w:style w:type="paragraph" w:customStyle="1" w:styleId="280">
    <w:name w:val="00-正文"/>
    <w:basedOn w:val="1"/>
    <w:link w:val="281"/>
    <w:autoRedefine/>
    <w:qFormat/>
    <w:uiPriority w:val="0"/>
    <w:pPr>
      <w:spacing w:line="400" w:lineRule="exact"/>
      <w:ind w:firstLine="420"/>
    </w:pPr>
    <w:rPr>
      <w:rFonts w:hAnsi="Calibri" w:cs="Calibri"/>
      <w:szCs w:val="21"/>
    </w:rPr>
  </w:style>
  <w:style w:type="character" w:customStyle="1" w:styleId="281">
    <w:name w:val="00-正文 Char"/>
    <w:link w:val="280"/>
    <w:autoRedefine/>
    <w:qFormat/>
    <w:uiPriority w:val="0"/>
    <w:rPr>
      <w:rFonts w:ascii="宋体" w:hAnsi="Calibri" w:cs="Calibri"/>
      <w:kern w:val="2"/>
      <w:sz w:val="21"/>
      <w:szCs w:val="21"/>
    </w:rPr>
  </w:style>
  <w:style w:type="paragraph" w:customStyle="1" w:styleId="282">
    <w:name w:val="正文-标准"/>
    <w:basedOn w:val="1"/>
    <w:link w:val="283"/>
    <w:autoRedefine/>
    <w:qFormat/>
    <w:uiPriority w:val="0"/>
    <w:pPr>
      <w:ind w:firstLine="200" w:firstLineChars="200"/>
    </w:pPr>
    <w:rPr>
      <w:rFonts w:cs="宋体"/>
      <w:szCs w:val="21"/>
    </w:rPr>
  </w:style>
  <w:style w:type="character" w:customStyle="1" w:styleId="283">
    <w:name w:val="正文-标准 字符"/>
    <w:link w:val="282"/>
    <w:autoRedefine/>
    <w:qFormat/>
    <w:uiPriority w:val="0"/>
    <w:rPr>
      <w:rFonts w:ascii="宋体" w:hAnsi="宋体" w:cs="宋体"/>
      <w:kern w:val="2"/>
      <w:sz w:val="21"/>
      <w:szCs w:val="21"/>
    </w:rPr>
  </w:style>
  <w:style w:type="character" w:customStyle="1" w:styleId="284">
    <w:name w:val="c-color-gray2"/>
    <w:autoRedefine/>
    <w:qFormat/>
    <w:uiPriority w:val="0"/>
  </w:style>
  <w:style w:type="character" w:customStyle="1" w:styleId="285">
    <w:name w:val="content-right_8zs40"/>
    <w:autoRedefine/>
    <w:qFormat/>
    <w:uiPriority w:val="0"/>
  </w:style>
  <w:style w:type="paragraph" w:customStyle="1" w:styleId="286">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87">
    <w:name w:val="Table Text"/>
    <w:basedOn w:val="1"/>
    <w:autoRedefine/>
    <w:semiHidden/>
    <w:qFormat/>
    <w:uiPriority w:val="0"/>
    <w:pPr>
      <w:kinsoku w:val="0"/>
      <w:autoSpaceDE w:val="0"/>
      <w:autoSpaceDN w:val="0"/>
      <w:adjustRightInd w:val="0"/>
      <w:snapToGrid w:val="0"/>
      <w:spacing w:before="73" w:line="220" w:lineRule="auto"/>
      <w:textAlignment w:val="baseline"/>
    </w:pPr>
    <w:rPr>
      <w:rFonts w:ascii="Times New Roman" w:hAnsi="Times New Roman"/>
      <w:snapToGrid w:val="0"/>
      <w:color w:val="000000"/>
      <w:kern w:val="0"/>
      <w:sz w:val="18"/>
      <w:szCs w:val="18"/>
      <w:lang w:eastAsia="en-US"/>
    </w:rPr>
  </w:style>
  <w:style w:type="table" w:customStyle="1" w:styleId="288">
    <w:name w:val="Table Normal1"/>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table" w:customStyle="1" w:styleId="289">
    <w:name w:val="Table Normal2"/>
    <w:autoRedefine/>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290">
    <w:name w:val="TOC 标题1"/>
    <w:basedOn w:val="3"/>
    <w:next w:val="1"/>
    <w:autoRedefine/>
    <w:unhideWhenUsed/>
    <w:qFormat/>
    <w:uiPriority w:val="39"/>
    <w:pPr>
      <w:numPr>
        <w:numId w:val="0"/>
      </w:numPr>
      <w:kinsoku w:val="0"/>
      <w:autoSpaceDE w:val="0"/>
      <w:autoSpaceDN w:val="0"/>
      <w:adjustRightInd/>
      <w:snapToGrid w:val="0"/>
      <w:spacing w:before="240" w:beforeLines="0" w:after="0" w:afterLines="0" w:line="259" w:lineRule="auto"/>
      <w:jc w:val="left"/>
      <w:textAlignment w:val="baseline"/>
      <w:outlineLvl w:val="9"/>
    </w:pPr>
    <w:rPr>
      <w:rFonts w:asciiTheme="majorHAnsi" w:hAnsiTheme="majorHAnsi" w:eastAsiaTheme="majorEastAsia" w:cstheme="majorBidi"/>
      <w:b w:val="0"/>
      <w:bCs w:val="0"/>
      <w:color w:val="376092" w:themeColor="accent1" w:themeShade="BF"/>
      <w:kern w:val="0"/>
      <w:szCs w:val="32"/>
      <w:lang w:eastAsia="zh-CN"/>
    </w:rPr>
  </w:style>
  <w:style w:type="paragraph" w:customStyle="1" w:styleId="29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8</Pages>
  <Words>3901</Words>
  <Characters>4133</Characters>
  <Lines>24</Lines>
  <Paragraphs>7</Paragraphs>
  <TotalTime>1</TotalTime>
  <ScaleCrop>false</ScaleCrop>
  <LinksUpToDate>false</LinksUpToDate>
  <CharactersWithSpaces>4181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2019-11-20T14:04:00Z</dcterms:created>
  <dc:creator>CNIS</dc:creator>
  <cp:lastModifiedBy>技术所</cp:lastModifiedBy>
  <cp:lastPrinted>2024-04-25T19:18:00Z</cp:lastPrinted>
  <dcterms:modified xsi:type="dcterms:W3CDTF">2026-04-02T07:13:28Z</dcterms:modified>
  <dc:title>标准名称</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7904C25C56B44F35A79EEC41AD732898_13</vt:lpwstr>
  </property>
  <property fmtid="{D5CDD505-2E9C-101B-9397-08002B2CF9AE}" pid="4" name="KSOTemplateDocerSaveRecord">
    <vt:lpwstr>eyJoZGlkIjoiNzc5NTlkNjRlMTUzMjBlMzlkYzQ0MDRhZWYyNzAyMDgiLCJ1c2VySWQiOiIxOTgxMjA0MzQifQ==</vt:lpwstr>
  </property>
</Properties>
</file>